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62</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069"/>
        <w:gridCol w:w="187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807霸州市医疗保障局</w:t>
            </w:r>
          </w:p>
        </w:tc>
        <w:tc>
          <w:tcPr>
            <w:tcW w:w="2069" w:type="dxa"/>
            <w:tcBorders>
              <w:top w:val="single" w:color="FFFFFF" w:sz="6" w:space="0"/>
              <w:left w:val="single" w:color="FFFFFF" w:sz="6" w:space="0"/>
              <w:right w:val="single" w:color="FFFFFF" w:sz="6" w:space="0"/>
            </w:tcBorders>
            <w:vAlign w:val="center"/>
          </w:tcPr>
          <w:p>
            <w:pPr>
              <w:pStyle w:val="10"/>
            </w:pPr>
            <w:r>
              <w:t>预算年度：2022</w:t>
            </w:r>
          </w:p>
        </w:tc>
        <w:tc>
          <w:tcPr>
            <w:tcW w:w="384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4040" w:type="dxa"/>
            <w:gridSpan w:val="2"/>
            <w:vAlign w:val="center"/>
          </w:tcPr>
          <w:p>
            <w:pPr>
              <w:pStyle w:val="12"/>
            </w:pPr>
            <w:r>
              <w:t>收入</w:t>
            </w:r>
          </w:p>
        </w:tc>
        <w:tc>
          <w:tcPr>
            <w:tcW w:w="384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2069" w:type="dxa"/>
            <w:vAlign w:val="center"/>
          </w:tcPr>
          <w:p>
            <w:pPr>
              <w:pStyle w:val="12"/>
            </w:pPr>
            <w:r>
              <w:t>预算数</w:t>
            </w:r>
          </w:p>
        </w:tc>
        <w:tc>
          <w:tcPr>
            <w:tcW w:w="1873"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2069" w:type="dxa"/>
            <w:vAlign w:val="center"/>
          </w:tcPr>
          <w:p>
            <w:pPr>
              <w:pStyle w:val="12"/>
            </w:pPr>
            <w:r>
              <w:t>2</w:t>
            </w:r>
          </w:p>
        </w:tc>
        <w:tc>
          <w:tcPr>
            <w:tcW w:w="1873"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2069" w:type="dxa"/>
            <w:vAlign w:val="center"/>
          </w:tcPr>
          <w:p>
            <w:pPr>
              <w:pStyle w:val="13"/>
            </w:pPr>
            <w:r>
              <w:t>10314.63</w:t>
            </w:r>
          </w:p>
        </w:tc>
        <w:tc>
          <w:tcPr>
            <w:tcW w:w="1873"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2069" w:type="dxa"/>
            <w:vAlign w:val="center"/>
          </w:tcPr>
          <w:p>
            <w:pPr>
              <w:pStyle w:val="13"/>
            </w:pPr>
            <w:r>
              <w:t>7.00</w:t>
            </w:r>
          </w:p>
        </w:tc>
        <w:tc>
          <w:tcPr>
            <w:tcW w:w="1873"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2069" w:type="dxa"/>
            <w:vAlign w:val="center"/>
          </w:tcPr>
          <w:p>
            <w:pPr>
              <w:pStyle w:val="13"/>
            </w:pPr>
          </w:p>
        </w:tc>
        <w:tc>
          <w:tcPr>
            <w:tcW w:w="1873"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2069" w:type="dxa"/>
            <w:vAlign w:val="center"/>
          </w:tcPr>
          <w:p>
            <w:pPr>
              <w:pStyle w:val="13"/>
            </w:pPr>
          </w:p>
        </w:tc>
        <w:tc>
          <w:tcPr>
            <w:tcW w:w="1873"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2069" w:type="dxa"/>
            <w:vAlign w:val="center"/>
          </w:tcPr>
          <w:p>
            <w:pPr>
              <w:pStyle w:val="13"/>
            </w:pPr>
          </w:p>
        </w:tc>
        <w:tc>
          <w:tcPr>
            <w:tcW w:w="1873"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2069" w:type="dxa"/>
            <w:vAlign w:val="center"/>
          </w:tcPr>
          <w:p>
            <w:pPr>
              <w:pStyle w:val="13"/>
            </w:pPr>
          </w:p>
        </w:tc>
        <w:tc>
          <w:tcPr>
            <w:tcW w:w="1873"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2069" w:type="dxa"/>
            <w:vAlign w:val="center"/>
          </w:tcPr>
          <w:p>
            <w:pPr>
              <w:pStyle w:val="13"/>
            </w:pPr>
          </w:p>
        </w:tc>
        <w:tc>
          <w:tcPr>
            <w:tcW w:w="1873"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2069" w:type="dxa"/>
            <w:vAlign w:val="center"/>
          </w:tcPr>
          <w:p>
            <w:pPr>
              <w:pStyle w:val="13"/>
            </w:pPr>
          </w:p>
        </w:tc>
        <w:tc>
          <w:tcPr>
            <w:tcW w:w="1873" w:type="dxa"/>
            <w:vAlign w:val="center"/>
          </w:tcPr>
          <w:p>
            <w:pPr>
              <w:pStyle w:val="14"/>
            </w:pPr>
            <w:r>
              <w:t>八、社会保障和就业支出</w:t>
            </w:r>
          </w:p>
        </w:tc>
        <w:tc>
          <w:tcPr>
            <w:tcW w:w="1971" w:type="dxa"/>
            <w:vAlign w:val="center"/>
          </w:tcPr>
          <w:p>
            <w:pPr>
              <w:pStyle w:val="13"/>
            </w:pPr>
            <w:r>
              <w:t>75.67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2069" w:type="dxa"/>
            <w:vAlign w:val="center"/>
          </w:tcPr>
          <w:p>
            <w:pPr>
              <w:pStyle w:val="13"/>
            </w:pPr>
          </w:p>
        </w:tc>
        <w:tc>
          <w:tcPr>
            <w:tcW w:w="1873"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十、卫生健康支出</w:t>
            </w:r>
          </w:p>
        </w:tc>
        <w:tc>
          <w:tcPr>
            <w:tcW w:w="1971" w:type="dxa"/>
            <w:vAlign w:val="center"/>
          </w:tcPr>
          <w:p>
            <w:pPr>
              <w:pStyle w:val="13"/>
            </w:pPr>
            <w:r>
              <w:t>10193.23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二十、住房保障支出</w:t>
            </w:r>
          </w:p>
        </w:tc>
        <w:tc>
          <w:tcPr>
            <w:tcW w:w="1971" w:type="dxa"/>
            <w:vAlign w:val="center"/>
          </w:tcPr>
          <w:p>
            <w:pPr>
              <w:pStyle w:val="13"/>
            </w:pPr>
            <w:r>
              <w:t>45.73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二十五、其他支出</w:t>
            </w:r>
          </w:p>
        </w:tc>
        <w:tc>
          <w:tcPr>
            <w:tcW w:w="197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2069" w:type="dxa"/>
            <w:vAlign w:val="center"/>
          </w:tcPr>
          <w:p>
            <w:pPr>
              <w:pStyle w:val="13"/>
            </w:pPr>
          </w:p>
        </w:tc>
        <w:tc>
          <w:tcPr>
            <w:tcW w:w="1873"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2069" w:type="dxa"/>
            <w:vAlign w:val="center"/>
          </w:tcPr>
          <w:p>
            <w:pPr>
              <w:pStyle w:val="17"/>
            </w:pPr>
            <w:r>
              <w:t>10321.63</w:t>
            </w:r>
          </w:p>
        </w:tc>
        <w:tc>
          <w:tcPr>
            <w:tcW w:w="1873" w:type="dxa"/>
            <w:vAlign w:val="center"/>
          </w:tcPr>
          <w:p>
            <w:pPr>
              <w:pStyle w:val="16"/>
            </w:pPr>
            <w:r>
              <w:t>本年支出合计</w:t>
            </w:r>
          </w:p>
        </w:tc>
        <w:tc>
          <w:tcPr>
            <w:tcW w:w="1971" w:type="dxa"/>
            <w:vAlign w:val="center"/>
          </w:tcPr>
          <w:p>
            <w:pPr>
              <w:pStyle w:val="17"/>
            </w:pPr>
            <w:r>
              <w:t>10321.63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2069" w:type="dxa"/>
            <w:vAlign w:val="center"/>
          </w:tcPr>
          <w:p>
            <w:pPr>
              <w:pStyle w:val="13"/>
            </w:pPr>
          </w:p>
        </w:tc>
        <w:tc>
          <w:tcPr>
            <w:tcW w:w="1873"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2069" w:type="dxa"/>
            <w:vAlign w:val="center"/>
          </w:tcPr>
          <w:p>
            <w:pPr>
              <w:pStyle w:val="17"/>
            </w:pPr>
            <w:r>
              <w:t>10321.63</w:t>
            </w:r>
          </w:p>
        </w:tc>
        <w:tc>
          <w:tcPr>
            <w:tcW w:w="1873" w:type="dxa"/>
            <w:vAlign w:val="center"/>
          </w:tcPr>
          <w:p>
            <w:pPr>
              <w:pStyle w:val="16"/>
            </w:pPr>
            <w:r>
              <w:t>支出总计</w:t>
            </w:r>
          </w:p>
        </w:tc>
        <w:tc>
          <w:tcPr>
            <w:tcW w:w="1971" w:type="dxa"/>
            <w:vAlign w:val="center"/>
          </w:tcPr>
          <w:p>
            <w:pPr>
              <w:pStyle w:val="17"/>
            </w:pPr>
            <w:r>
              <w:t>10321.63</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807霸州市医疗保障局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10321.63</w:t>
            </w:r>
          </w:p>
        </w:tc>
        <w:tc>
          <w:tcPr>
            <w:tcW w:w="758" w:type="dxa"/>
            <w:vAlign w:val="center"/>
          </w:tcPr>
          <w:p>
            <w:pPr>
              <w:pStyle w:val="17"/>
            </w:pPr>
            <w:r>
              <w:t>10321.63</w:t>
            </w:r>
          </w:p>
        </w:tc>
        <w:tc>
          <w:tcPr>
            <w:tcW w:w="758" w:type="dxa"/>
            <w:vAlign w:val="center"/>
          </w:tcPr>
          <w:p>
            <w:pPr>
              <w:pStyle w:val="17"/>
            </w:pPr>
            <w:r>
              <w:t>10321.63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75.67</w:t>
            </w:r>
          </w:p>
        </w:tc>
        <w:tc>
          <w:tcPr>
            <w:tcW w:w="758" w:type="dxa"/>
            <w:vAlign w:val="center"/>
          </w:tcPr>
          <w:p>
            <w:pPr>
              <w:pStyle w:val="13"/>
            </w:pPr>
            <w:r>
              <w:t>75.67</w:t>
            </w:r>
          </w:p>
        </w:tc>
        <w:tc>
          <w:tcPr>
            <w:tcW w:w="758" w:type="dxa"/>
            <w:vAlign w:val="center"/>
          </w:tcPr>
          <w:p>
            <w:pPr>
              <w:pStyle w:val="13"/>
            </w:pPr>
            <w:r>
              <w:t>75.67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66.67</w:t>
            </w:r>
          </w:p>
        </w:tc>
        <w:tc>
          <w:tcPr>
            <w:tcW w:w="758" w:type="dxa"/>
            <w:vAlign w:val="center"/>
          </w:tcPr>
          <w:p>
            <w:pPr>
              <w:pStyle w:val="13"/>
            </w:pPr>
            <w:r>
              <w:t>66.67</w:t>
            </w:r>
          </w:p>
        </w:tc>
        <w:tc>
          <w:tcPr>
            <w:tcW w:w="758" w:type="dxa"/>
            <w:vAlign w:val="center"/>
          </w:tcPr>
          <w:p>
            <w:pPr>
              <w:pStyle w:val="13"/>
            </w:pPr>
            <w:r>
              <w:t>66.67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5.72</w:t>
            </w:r>
          </w:p>
        </w:tc>
        <w:tc>
          <w:tcPr>
            <w:tcW w:w="758" w:type="dxa"/>
            <w:vAlign w:val="center"/>
          </w:tcPr>
          <w:p>
            <w:pPr>
              <w:pStyle w:val="13"/>
            </w:pPr>
            <w:r>
              <w:t>5.72</w:t>
            </w:r>
          </w:p>
        </w:tc>
        <w:tc>
          <w:tcPr>
            <w:tcW w:w="758" w:type="dxa"/>
            <w:vAlign w:val="center"/>
          </w:tcPr>
          <w:p>
            <w:pPr>
              <w:pStyle w:val="13"/>
            </w:pPr>
            <w:r>
              <w:t>5.72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60.95</w:t>
            </w:r>
          </w:p>
        </w:tc>
        <w:tc>
          <w:tcPr>
            <w:tcW w:w="758" w:type="dxa"/>
            <w:vAlign w:val="center"/>
          </w:tcPr>
          <w:p>
            <w:pPr>
              <w:pStyle w:val="13"/>
            </w:pPr>
            <w:r>
              <w:t>60.95</w:t>
            </w:r>
          </w:p>
        </w:tc>
        <w:tc>
          <w:tcPr>
            <w:tcW w:w="758" w:type="dxa"/>
            <w:vAlign w:val="center"/>
          </w:tcPr>
          <w:p>
            <w:pPr>
              <w:pStyle w:val="13"/>
            </w:pPr>
            <w:r>
              <w:t>60.95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20899</w:t>
            </w:r>
          </w:p>
        </w:tc>
        <w:tc>
          <w:tcPr>
            <w:tcW w:w="758" w:type="dxa"/>
            <w:vAlign w:val="center"/>
          </w:tcPr>
          <w:p>
            <w:pPr>
              <w:pStyle w:val="14"/>
            </w:pPr>
            <w:r>
              <w:t>其他社会保障和就业支出</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2089999</w:t>
            </w:r>
          </w:p>
        </w:tc>
        <w:tc>
          <w:tcPr>
            <w:tcW w:w="758" w:type="dxa"/>
            <w:vAlign w:val="center"/>
          </w:tcPr>
          <w:p>
            <w:pPr>
              <w:pStyle w:val="14"/>
            </w:pPr>
            <w:r>
              <w:t>其他社会保障和就业支出</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r>
              <w:t>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10193.23</w:t>
            </w:r>
          </w:p>
        </w:tc>
        <w:tc>
          <w:tcPr>
            <w:tcW w:w="758" w:type="dxa"/>
            <w:vAlign w:val="center"/>
          </w:tcPr>
          <w:p>
            <w:pPr>
              <w:pStyle w:val="13"/>
            </w:pPr>
            <w:r>
              <w:t>10193.23</w:t>
            </w:r>
          </w:p>
        </w:tc>
        <w:tc>
          <w:tcPr>
            <w:tcW w:w="758" w:type="dxa"/>
            <w:vAlign w:val="center"/>
          </w:tcPr>
          <w:p>
            <w:pPr>
              <w:pStyle w:val="13"/>
            </w:pPr>
            <w:r>
              <w:t>10193.23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23.74</w:t>
            </w:r>
          </w:p>
        </w:tc>
        <w:tc>
          <w:tcPr>
            <w:tcW w:w="758" w:type="dxa"/>
            <w:vAlign w:val="center"/>
          </w:tcPr>
          <w:p>
            <w:pPr>
              <w:pStyle w:val="13"/>
            </w:pPr>
            <w:r>
              <w:t>23.74</w:t>
            </w:r>
          </w:p>
        </w:tc>
        <w:tc>
          <w:tcPr>
            <w:tcW w:w="758" w:type="dxa"/>
            <w:vAlign w:val="center"/>
          </w:tcPr>
          <w:p>
            <w:pPr>
              <w:pStyle w:val="13"/>
            </w:pPr>
            <w:r>
              <w:t>23.74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23.74</w:t>
            </w:r>
          </w:p>
        </w:tc>
        <w:tc>
          <w:tcPr>
            <w:tcW w:w="758" w:type="dxa"/>
            <w:vAlign w:val="center"/>
          </w:tcPr>
          <w:p>
            <w:pPr>
              <w:pStyle w:val="13"/>
            </w:pPr>
            <w:r>
              <w:t>23.74</w:t>
            </w:r>
          </w:p>
        </w:tc>
        <w:tc>
          <w:tcPr>
            <w:tcW w:w="758" w:type="dxa"/>
            <w:vAlign w:val="center"/>
          </w:tcPr>
          <w:p>
            <w:pPr>
              <w:pStyle w:val="13"/>
            </w:pPr>
            <w:r>
              <w:t>23.74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7910.22</w:t>
            </w:r>
          </w:p>
        </w:tc>
        <w:tc>
          <w:tcPr>
            <w:tcW w:w="758" w:type="dxa"/>
            <w:vAlign w:val="center"/>
          </w:tcPr>
          <w:p>
            <w:pPr>
              <w:pStyle w:val="13"/>
            </w:pPr>
            <w:r>
              <w:t>7910.22</w:t>
            </w:r>
          </w:p>
        </w:tc>
        <w:tc>
          <w:tcPr>
            <w:tcW w:w="758" w:type="dxa"/>
            <w:vAlign w:val="center"/>
          </w:tcPr>
          <w:p>
            <w:pPr>
              <w:pStyle w:val="13"/>
            </w:pPr>
            <w:r>
              <w:t>7910.22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590.22</w:t>
            </w:r>
          </w:p>
        </w:tc>
        <w:tc>
          <w:tcPr>
            <w:tcW w:w="758" w:type="dxa"/>
            <w:vAlign w:val="center"/>
          </w:tcPr>
          <w:p>
            <w:pPr>
              <w:pStyle w:val="13"/>
            </w:pPr>
            <w:r>
              <w:t>590.22</w:t>
            </w:r>
          </w:p>
        </w:tc>
        <w:tc>
          <w:tcPr>
            <w:tcW w:w="758" w:type="dxa"/>
            <w:vAlign w:val="center"/>
          </w:tcPr>
          <w:p>
            <w:pPr>
              <w:pStyle w:val="13"/>
            </w:pPr>
            <w:r>
              <w:t>590.22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2101202</w:t>
            </w:r>
          </w:p>
        </w:tc>
        <w:tc>
          <w:tcPr>
            <w:tcW w:w="758" w:type="dxa"/>
            <w:vAlign w:val="center"/>
          </w:tcPr>
          <w:p>
            <w:pPr>
              <w:pStyle w:val="14"/>
            </w:pPr>
            <w:r>
              <w:t>财政对城乡居民基本医疗保险基金的补助</w:t>
            </w:r>
          </w:p>
        </w:tc>
        <w:tc>
          <w:tcPr>
            <w:tcW w:w="758" w:type="dxa"/>
            <w:vAlign w:val="center"/>
          </w:tcPr>
          <w:p>
            <w:pPr>
              <w:pStyle w:val="13"/>
            </w:pPr>
            <w:r>
              <w:t>7320.00</w:t>
            </w:r>
          </w:p>
        </w:tc>
        <w:tc>
          <w:tcPr>
            <w:tcW w:w="758" w:type="dxa"/>
            <w:vAlign w:val="center"/>
          </w:tcPr>
          <w:p>
            <w:pPr>
              <w:pStyle w:val="13"/>
            </w:pPr>
            <w:r>
              <w:t>7320.00</w:t>
            </w:r>
          </w:p>
        </w:tc>
        <w:tc>
          <w:tcPr>
            <w:tcW w:w="758" w:type="dxa"/>
            <w:vAlign w:val="center"/>
          </w:tcPr>
          <w:p>
            <w:pPr>
              <w:pStyle w:val="13"/>
            </w:pPr>
            <w:r>
              <w:t>7320.00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21013</w:t>
            </w:r>
          </w:p>
        </w:tc>
        <w:tc>
          <w:tcPr>
            <w:tcW w:w="758" w:type="dxa"/>
            <w:vAlign w:val="center"/>
          </w:tcPr>
          <w:p>
            <w:pPr>
              <w:pStyle w:val="14"/>
            </w:pPr>
            <w:r>
              <w:t>医疗救助</w:t>
            </w:r>
          </w:p>
        </w:tc>
        <w:tc>
          <w:tcPr>
            <w:tcW w:w="758" w:type="dxa"/>
            <w:vAlign w:val="center"/>
          </w:tcPr>
          <w:p>
            <w:pPr>
              <w:pStyle w:val="13"/>
            </w:pPr>
            <w:r>
              <w:t>1060.00</w:t>
            </w:r>
          </w:p>
        </w:tc>
        <w:tc>
          <w:tcPr>
            <w:tcW w:w="758" w:type="dxa"/>
            <w:vAlign w:val="center"/>
          </w:tcPr>
          <w:p>
            <w:pPr>
              <w:pStyle w:val="13"/>
            </w:pPr>
            <w:r>
              <w:t>1060.00</w:t>
            </w:r>
          </w:p>
        </w:tc>
        <w:tc>
          <w:tcPr>
            <w:tcW w:w="758" w:type="dxa"/>
            <w:vAlign w:val="center"/>
          </w:tcPr>
          <w:p>
            <w:pPr>
              <w:pStyle w:val="13"/>
            </w:pPr>
            <w:r>
              <w:t>1060.00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2101301</w:t>
            </w:r>
          </w:p>
        </w:tc>
        <w:tc>
          <w:tcPr>
            <w:tcW w:w="758" w:type="dxa"/>
            <w:vAlign w:val="center"/>
          </w:tcPr>
          <w:p>
            <w:pPr>
              <w:pStyle w:val="14"/>
            </w:pPr>
            <w:r>
              <w:t>城乡医疗救助</w:t>
            </w:r>
          </w:p>
        </w:tc>
        <w:tc>
          <w:tcPr>
            <w:tcW w:w="758" w:type="dxa"/>
            <w:vAlign w:val="center"/>
          </w:tcPr>
          <w:p>
            <w:pPr>
              <w:pStyle w:val="13"/>
            </w:pPr>
            <w:r>
              <w:t>1060.00</w:t>
            </w:r>
          </w:p>
        </w:tc>
        <w:tc>
          <w:tcPr>
            <w:tcW w:w="758" w:type="dxa"/>
            <w:vAlign w:val="center"/>
          </w:tcPr>
          <w:p>
            <w:pPr>
              <w:pStyle w:val="13"/>
            </w:pPr>
            <w:r>
              <w:t>1060.00</w:t>
            </w:r>
          </w:p>
        </w:tc>
        <w:tc>
          <w:tcPr>
            <w:tcW w:w="758" w:type="dxa"/>
            <w:vAlign w:val="center"/>
          </w:tcPr>
          <w:p>
            <w:pPr>
              <w:pStyle w:val="13"/>
            </w:pPr>
            <w:r>
              <w:t>1060.00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21015</w:t>
            </w:r>
          </w:p>
        </w:tc>
        <w:tc>
          <w:tcPr>
            <w:tcW w:w="758" w:type="dxa"/>
            <w:vAlign w:val="center"/>
          </w:tcPr>
          <w:p>
            <w:pPr>
              <w:pStyle w:val="14"/>
            </w:pPr>
            <w:r>
              <w:t>医疗保障管理事务</w:t>
            </w:r>
          </w:p>
        </w:tc>
        <w:tc>
          <w:tcPr>
            <w:tcW w:w="758" w:type="dxa"/>
            <w:vAlign w:val="center"/>
          </w:tcPr>
          <w:p>
            <w:pPr>
              <w:pStyle w:val="13"/>
            </w:pPr>
            <w:r>
              <w:t>1199.27</w:t>
            </w:r>
          </w:p>
        </w:tc>
        <w:tc>
          <w:tcPr>
            <w:tcW w:w="758" w:type="dxa"/>
            <w:vAlign w:val="center"/>
          </w:tcPr>
          <w:p>
            <w:pPr>
              <w:pStyle w:val="13"/>
            </w:pPr>
            <w:r>
              <w:t>1199.27</w:t>
            </w:r>
          </w:p>
        </w:tc>
        <w:tc>
          <w:tcPr>
            <w:tcW w:w="758" w:type="dxa"/>
            <w:vAlign w:val="center"/>
          </w:tcPr>
          <w:p>
            <w:pPr>
              <w:pStyle w:val="13"/>
            </w:pPr>
            <w:r>
              <w:t>1199.27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2101501</w:t>
            </w:r>
          </w:p>
        </w:tc>
        <w:tc>
          <w:tcPr>
            <w:tcW w:w="758" w:type="dxa"/>
            <w:vAlign w:val="center"/>
          </w:tcPr>
          <w:p>
            <w:pPr>
              <w:pStyle w:val="14"/>
            </w:pPr>
            <w:r>
              <w:t>行政运行</w:t>
            </w:r>
          </w:p>
        </w:tc>
        <w:tc>
          <w:tcPr>
            <w:tcW w:w="758" w:type="dxa"/>
            <w:vAlign w:val="center"/>
          </w:tcPr>
          <w:p>
            <w:pPr>
              <w:pStyle w:val="13"/>
            </w:pPr>
            <w:r>
              <w:t>1116.27</w:t>
            </w:r>
          </w:p>
        </w:tc>
        <w:tc>
          <w:tcPr>
            <w:tcW w:w="758" w:type="dxa"/>
            <w:vAlign w:val="center"/>
          </w:tcPr>
          <w:p>
            <w:pPr>
              <w:pStyle w:val="13"/>
            </w:pPr>
            <w:r>
              <w:t>1116.27</w:t>
            </w:r>
          </w:p>
        </w:tc>
        <w:tc>
          <w:tcPr>
            <w:tcW w:w="758" w:type="dxa"/>
            <w:vAlign w:val="center"/>
          </w:tcPr>
          <w:p>
            <w:pPr>
              <w:pStyle w:val="13"/>
            </w:pPr>
            <w:r>
              <w:t>1116.27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2101502</w:t>
            </w:r>
          </w:p>
        </w:tc>
        <w:tc>
          <w:tcPr>
            <w:tcW w:w="758" w:type="dxa"/>
            <w:vAlign w:val="center"/>
          </w:tcPr>
          <w:p>
            <w:pPr>
              <w:pStyle w:val="14"/>
            </w:pPr>
            <w:r>
              <w:t>一般行政管理事务</w:t>
            </w:r>
          </w:p>
        </w:tc>
        <w:tc>
          <w:tcPr>
            <w:tcW w:w="758" w:type="dxa"/>
            <w:vAlign w:val="center"/>
          </w:tcPr>
          <w:p>
            <w:pPr>
              <w:pStyle w:val="13"/>
            </w:pPr>
            <w:r>
              <w:t>40.00</w:t>
            </w:r>
          </w:p>
        </w:tc>
        <w:tc>
          <w:tcPr>
            <w:tcW w:w="758" w:type="dxa"/>
            <w:vAlign w:val="center"/>
          </w:tcPr>
          <w:p>
            <w:pPr>
              <w:pStyle w:val="13"/>
            </w:pPr>
            <w:r>
              <w:t>40.00</w:t>
            </w:r>
          </w:p>
        </w:tc>
        <w:tc>
          <w:tcPr>
            <w:tcW w:w="758" w:type="dxa"/>
            <w:vAlign w:val="center"/>
          </w:tcPr>
          <w:p>
            <w:pPr>
              <w:pStyle w:val="13"/>
            </w:pPr>
            <w:r>
              <w:t>40.00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2101505</w:t>
            </w:r>
          </w:p>
        </w:tc>
        <w:tc>
          <w:tcPr>
            <w:tcW w:w="758" w:type="dxa"/>
            <w:vAlign w:val="center"/>
          </w:tcPr>
          <w:p>
            <w:pPr>
              <w:pStyle w:val="14"/>
            </w:pPr>
            <w:r>
              <w:t>医疗保障政策管理</w:t>
            </w:r>
          </w:p>
        </w:tc>
        <w:tc>
          <w:tcPr>
            <w:tcW w:w="758" w:type="dxa"/>
            <w:vAlign w:val="center"/>
          </w:tcPr>
          <w:p>
            <w:pPr>
              <w:pStyle w:val="13"/>
            </w:pPr>
            <w:r>
              <w:t>43.00</w:t>
            </w:r>
          </w:p>
        </w:tc>
        <w:tc>
          <w:tcPr>
            <w:tcW w:w="758" w:type="dxa"/>
            <w:vAlign w:val="center"/>
          </w:tcPr>
          <w:p>
            <w:pPr>
              <w:pStyle w:val="13"/>
            </w:pPr>
            <w:r>
              <w:t>43.00</w:t>
            </w:r>
          </w:p>
        </w:tc>
        <w:tc>
          <w:tcPr>
            <w:tcW w:w="758" w:type="dxa"/>
            <w:vAlign w:val="center"/>
          </w:tcPr>
          <w:p>
            <w:pPr>
              <w:pStyle w:val="13"/>
            </w:pPr>
            <w:r>
              <w:t>43.00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45.73</w:t>
            </w:r>
          </w:p>
        </w:tc>
        <w:tc>
          <w:tcPr>
            <w:tcW w:w="758" w:type="dxa"/>
            <w:vAlign w:val="center"/>
          </w:tcPr>
          <w:p>
            <w:pPr>
              <w:pStyle w:val="13"/>
            </w:pPr>
            <w:r>
              <w:t>45.73</w:t>
            </w:r>
          </w:p>
        </w:tc>
        <w:tc>
          <w:tcPr>
            <w:tcW w:w="758" w:type="dxa"/>
            <w:vAlign w:val="center"/>
          </w:tcPr>
          <w:p>
            <w:pPr>
              <w:pStyle w:val="13"/>
            </w:pPr>
            <w:r>
              <w:t>45.73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45.73</w:t>
            </w:r>
          </w:p>
        </w:tc>
        <w:tc>
          <w:tcPr>
            <w:tcW w:w="758" w:type="dxa"/>
            <w:vAlign w:val="center"/>
          </w:tcPr>
          <w:p>
            <w:pPr>
              <w:pStyle w:val="13"/>
            </w:pPr>
            <w:r>
              <w:t>45.73</w:t>
            </w:r>
          </w:p>
        </w:tc>
        <w:tc>
          <w:tcPr>
            <w:tcW w:w="758" w:type="dxa"/>
            <w:vAlign w:val="center"/>
          </w:tcPr>
          <w:p>
            <w:pPr>
              <w:pStyle w:val="13"/>
            </w:pPr>
            <w:r>
              <w:t>45.73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45.73</w:t>
            </w:r>
          </w:p>
        </w:tc>
        <w:tc>
          <w:tcPr>
            <w:tcW w:w="758" w:type="dxa"/>
            <w:vAlign w:val="center"/>
          </w:tcPr>
          <w:p>
            <w:pPr>
              <w:pStyle w:val="13"/>
            </w:pPr>
            <w:r>
              <w:t>45.73</w:t>
            </w:r>
          </w:p>
        </w:tc>
        <w:tc>
          <w:tcPr>
            <w:tcW w:w="758" w:type="dxa"/>
            <w:vAlign w:val="center"/>
          </w:tcPr>
          <w:p>
            <w:pPr>
              <w:pStyle w:val="13"/>
            </w:pPr>
            <w:r>
              <w:t>45.73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22960</w:t>
            </w:r>
          </w:p>
        </w:tc>
        <w:tc>
          <w:tcPr>
            <w:tcW w:w="758" w:type="dxa"/>
            <w:vAlign w:val="center"/>
          </w:tcPr>
          <w:p>
            <w:pPr>
              <w:pStyle w:val="14"/>
            </w:pPr>
            <w:r>
              <w:t>彩票公益金安排的支出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2296013</w:t>
            </w:r>
          </w:p>
        </w:tc>
        <w:tc>
          <w:tcPr>
            <w:tcW w:w="758" w:type="dxa"/>
            <w:vAlign w:val="center"/>
          </w:tcPr>
          <w:p>
            <w:pPr>
              <w:pStyle w:val="14"/>
            </w:pPr>
            <w:r>
              <w:t>用于城乡医疗救助的彩票公益金支出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10321.63</w:t>
            </w:r>
          </w:p>
        </w:tc>
        <w:tc>
          <w:tcPr>
            <w:tcW w:w="1095" w:type="dxa"/>
            <w:vAlign w:val="center"/>
          </w:tcPr>
          <w:p>
            <w:pPr>
              <w:pStyle w:val="17"/>
            </w:pPr>
            <w:r>
              <w:t>1252.41</w:t>
            </w:r>
          </w:p>
        </w:tc>
        <w:tc>
          <w:tcPr>
            <w:tcW w:w="1095" w:type="dxa"/>
            <w:vAlign w:val="center"/>
          </w:tcPr>
          <w:p>
            <w:pPr>
              <w:pStyle w:val="17"/>
            </w:pPr>
            <w:r>
              <w:t>9069.22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75.67</w:t>
            </w:r>
          </w:p>
        </w:tc>
        <w:tc>
          <w:tcPr>
            <w:tcW w:w="1095" w:type="dxa"/>
            <w:vAlign w:val="center"/>
          </w:tcPr>
          <w:p>
            <w:pPr>
              <w:pStyle w:val="13"/>
            </w:pPr>
            <w:r>
              <w:t>66.67</w:t>
            </w: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66.67</w:t>
            </w:r>
          </w:p>
        </w:tc>
        <w:tc>
          <w:tcPr>
            <w:tcW w:w="1095" w:type="dxa"/>
            <w:vAlign w:val="center"/>
          </w:tcPr>
          <w:p>
            <w:pPr>
              <w:pStyle w:val="13"/>
            </w:pPr>
            <w:r>
              <w:t>66.67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5.72</w:t>
            </w:r>
          </w:p>
        </w:tc>
        <w:tc>
          <w:tcPr>
            <w:tcW w:w="1095" w:type="dxa"/>
            <w:vAlign w:val="center"/>
          </w:tcPr>
          <w:p>
            <w:pPr>
              <w:pStyle w:val="13"/>
            </w:pPr>
            <w:r>
              <w:t>5.72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60.95</w:t>
            </w:r>
          </w:p>
        </w:tc>
        <w:tc>
          <w:tcPr>
            <w:tcW w:w="1095" w:type="dxa"/>
            <w:vAlign w:val="center"/>
          </w:tcPr>
          <w:p>
            <w:pPr>
              <w:pStyle w:val="13"/>
            </w:pPr>
            <w:r>
              <w:t>60.95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20899</w:t>
            </w:r>
          </w:p>
        </w:tc>
        <w:tc>
          <w:tcPr>
            <w:tcW w:w="1095" w:type="dxa"/>
            <w:vAlign w:val="center"/>
          </w:tcPr>
          <w:p>
            <w:pPr>
              <w:pStyle w:val="14"/>
            </w:pPr>
            <w:r>
              <w:t>其他社会保障和就业支出</w:t>
            </w: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2089999</w:t>
            </w:r>
          </w:p>
        </w:tc>
        <w:tc>
          <w:tcPr>
            <w:tcW w:w="1095" w:type="dxa"/>
            <w:vAlign w:val="center"/>
          </w:tcPr>
          <w:p>
            <w:pPr>
              <w:pStyle w:val="14"/>
            </w:pPr>
            <w:r>
              <w:t>其他社会保障和就业支出</w:t>
            </w: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r>
              <w:t>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10193.23</w:t>
            </w:r>
          </w:p>
        </w:tc>
        <w:tc>
          <w:tcPr>
            <w:tcW w:w="1095" w:type="dxa"/>
            <w:vAlign w:val="center"/>
          </w:tcPr>
          <w:p>
            <w:pPr>
              <w:pStyle w:val="13"/>
            </w:pPr>
            <w:r>
              <w:t>1140.01</w:t>
            </w:r>
          </w:p>
        </w:tc>
        <w:tc>
          <w:tcPr>
            <w:tcW w:w="1095" w:type="dxa"/>
            <w:vAlign w:val="center"/>
          </w:tcPr>
          <w:p>
            <w:pPr>
              <w:pStyle w:val="13"/>
            </w:pPr>
            <w:r>
              <w:t>9053.22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23.74</w:t>
            </w:r>
          </w:p>
        </w:tc>
        <w:tc>
          <w:tcPr>
            <w:tcW w:w="1095" w:type="dxa"/>
            <w:vAlign w:val="center"/>
          </w:tcPr>
          <w:p>
            <w:pPr>
              <w:pStyle w:val="13"/>
            </w:pPr>
            <w:r>
              <w:t>23.74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23.74</w:t>
            </w:r>
          </w:p>
        </w:tc>
        <w:tc>
          <w:tcPr>
            <w:tcW w:w="1095" w:type="dxa"/>
            <w:vAlign w:val="center"/>
          </w:tcPr>
          <w:p>
            <w:pPr>
              <w:pStyle w:val="13"/>
            </w:pPr>
            <w:r>
              <w:t>23.74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7910.22</w:t>
            </w:r>
          </w:p>
        </w:tc>
        <w:tc>
          <w:tcPr>
            <w:tcW w:w="1095" w:type="dxa"/>
            <w:vAlign w:val="center"/>
          </w:tcPr>
          <w:p>
            <w:pPr>
              <w:pStyle w:val="13"/>
            </w:pPr>
          </w:p>
        </w:tc>
        <w:tc>
          <w:tcPr>
            <w:tcW w:w="1095" w:type="dxa"/>
            <w:vAlign w:val="center"/>
          </w:tcPr>
          <w:p>
            <w:pPr>
              <w:pStyle w:val="13"/>
            </w:pPr>
            <w:r>
              <w:t>7910.22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590.22</w:t>
            </w:r>
          </w:p>
        </w:tc>
        <w:tc>
          <w:tcPr>
            <w:tcW w:w="1095" w:type="dxa"/>
            <w:vAlign w:val="center"/>
          </w:tcPr>
          <w:p>
            <w:pPr>
              <w:pStyle w:val="13"/>
            </w:pPr>
          </w:p>
        </w:tc>
        <w:tc>
          <w:tcPr>
            <w:tcW w:w="1095" w:type="dxa"/>
            <w:vAlign w:val="center"/>
          </w:tcPr>
          <w:p>
            <w:pPr>
              <w:pStyle w:val="13"/>
            </w:pPr>
            <w:r>
              <w:t>590.22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2101202</w:t>
            </w:r>
          </w:p>
        </w:tc>
        <w:tc>
          <w:tcPr>
            <w:tcW w:w="1095" w:type="dxa"/>
            <w:vAlign w:val="center"/>
          </w:tcPr>
          <w:p>
            <w:pPr>
              <w:pStyle w:val="14"/>
            </w:pPr>
            <w:r>
              <w:t>财政对城乡居民基本医疗保险基金的补助</w:t>
            </w:r>
          </w:p>
        </w:tc>
        <w:tc>
          <w:tcPr>
            <w:tcW w:w="1095" w:type="dxa"/>
            <w:vAlign w:val="center"/>
          </w:tcPr>
          <w:p>
            <w:pPr>
              <w:pStyle w:val="13"/>
            </w:pPr>
            <w:r>
              <w:t>7320.00</w:t>
            </w:r>
          </w:p>
        </w:tc>
        <w:tc>
          <w:tcPr>
            <w:tcW w:w="1095" w:type="dxa"/>
            <w:vAlign w:val="center"/>
          </w:tcPr>
          <w:p>
            <w:pPr>
              <w:pStyle w:val="13"/>
            </w:pPr>
          </w:p>
        </w:tc>
        <w:tc>
          <w:tcPr>
            <w:tcW w:w="1095" w:type="dxa"/>
            <w:vAlign w:val="center"/>
          </w:tcPr>
          <w:p>
            <w:pPr>
              <w:pStyle w:val="13"/>
            </w:pPr>
            <w:r>
              <w:t>7320.00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21013</w:t>
            </w:r>
          </w:p>
        </w:tc>
        <w:tc>
          <w:tcPr>
            <w:tcW w:w="1095" w:type="dxa"/>
            <w:vAlign w:val="center"/>
          </w:tcPr>
          <w:p>
            <w:pPr>
              <w:pStyle w:val="14"/>
            </w:pPr>
            <w:r>
              <w:t>医疗救助</w:t>
            </w:r>
          </w:p>
        </w:tc>
        <w:tc>
          <w:tcPr>
            <w:tcW w:w="1095" w:type="dxa"/>
            <w:vAlign w:val="center"/>
          </w:tcPr>
          <w:p>
            <w:pPr>
              <w:pStyle w:val="13"/>
            </w:pPr>
            <w:r>
              <w:t>1060.00</w:t>
            </w:r>
          </w:p>
        </w:tc>
        <w:tc>
          <w:tcPr>
            <w:tcW w:w="1095" w:type="dxa"/>
            <w:vAlign w:val="center"/>
          </w:tcPr>
          <w:p>
            <w:pPr>
              <w:pStyle w:val="13"/>
            </w:pPr>
          </w:p>
        </w:tc>
        <w:tc>
          <w:tcPr>
            <w:tcW w:w="1095" w:type="dxa"/>
            <w:vAlign w:val="center"/>
          </w:tcPr>
          <w:p>
            <w:pPr>
              <w:pStyle w:val="13"/>
            </w:pPr>
            <w:r>
              <w:t>1060.00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2101301</w:t>
            </w:r>
          </w:p>
        </w:tc>
        <w:tc>
          <w:tcPr>
            <w:tcW w:w="1095" w:type="dxa"/>
            <w:vAlign w:val="center"/>
          </w:tcPr>
          <w:p>
            <w:pPr>
              <w:pStyle w:val="14"/>
            </w:pPr>
            <w:r>
              <w:t>城乡医疗救助</w:t>
            </w:r>
          </w:p>
        </w:tc>
        <w:tc>
          <w:tcPr>
            <w:tcW w:w="1095" w:type="dxa"/>
            <w:vAlign w:val="center"/>
          </w:tcPr>
          <w:p>
            <w:pPr>
              <w:pStyle w:val="13"/>
            </w:pPr>
            <w:r>
              <w:t>1060.00</w:t>
            </w:r>
          </w:p>
        </w:tc>
        <w:tc>
          <w:tcPr>
            <w:tcW w:w="1095" w:type="dxa"/>
            <w:vAlign w:val="center"/>
          </w:tcPr>
          <w:p>
            <w:pPr>
              <w:pStyle w:val="13"/>
            </w:pPr>
          </w:p>
        </w:tc>
        <w:tc>
          <w:tcPr>
            <w:tcW w:w="1095" w:type="dxa"/>
            <w:vAlign w:val="center"/>
          </w:tcPr>
          <w:p>
            <w:pPr>
              <w:pStyle w:val="13"/>
            </w:pPr>
            <w:r>
              <w:t>1060.00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21015</w:t>
            </w:r>
          </w:p>
        </w:tc>
        <w:tc>
          <w:tcPr>
            <w:tcW w:w="1095" w:type="dxa"/>
            <w:vAlign w:val="center"/>
          </w:tcPr>
          <w:p>
            <w:pPr>
              <w:pStyle w:val="14"/>
            </w:pPr>
            <w:r>
              <w:t>医疗保障管理事务</w:t>
            </w:r>
          </w:p>
        </w:tc>
        <w:tc>
          <w:tcPr>
            <w:tcW w:w="1095" w:type="dxa"/>
            <w:vAlign w:val="center"/>
          </w:tcPr>
          <w:p>
            <w:pPr>
              <w:pStyle w:val="13"/>
            </w:pPr>
            <w:r>
              <w:t>1199.27</w:t>
            </w:r>
          </w:p>
        </w:tc>
        <w:tc>
          <w:tcPr>
            <w:tcW w:w="1095" w:type="dxa"/>
            <w:vAlign w:val="center"/>
          </w:tcPr>
          <w:p>
            <w:pPr>
              <w:pStyle w:val="13"/>
            </w:pPr>
            <w:r>
              <w:t>1116.27</w:t>
            </w:r>
          </w:p>
        </w:tc>
        <w:tc>
          <w:tcPr>
            <w:tcW w:w="1095" w:type="dxa"/>
            <w:vAlign w:val="center"/>
          </w:tcPr>
          <w:p>
            <w:pPr>
              <w:pStyle w:val="13"/>
            </w:pPr>
            <w:r>
              <w:t>83.00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2101501</w:t>
            </w:r>
          </w:p>
        </w:tc>
        <w:tc>
          <w:tcPr>
            <w:tcW w:w="1095" w:type="dxa"/>
            <w:vAlign w:val="center"/>
          </w:tcPr>
          <w:p>
            <w:pPr>
              <w:pStyle w:val="14"/>
            </w:pPr>
            <w:r>
              <w:t>行政运行</w:t>
            </w:r>
          </w:p>
        </w:tc>
        <w:tc>
          <w:tcPr>
            <w:tcW w:w="1095" w:type="dxa"/>
            <w:vAlign w:val="center"/>
          </w:tcPr>
          <w:p>
            <w:pPr>
              <w:pStyle w:val="13"/>
            </w:pPr>
            <w:r>
              <w:t>1116.27</w:t>
            </w:r>
          </w:p>
        </w:tc>
        <w:tc>
          <w:tcPr>
            <w:tcW w:w="1095" w:type="dxa"/>
            <w:vAlign w:val="center"/>
          </w:tcPr>
          <w:p>
            <w:pPr>
              <w:pStyle w:val="13"/>
            </w:pPr>
            <w:r>
              <w:t>1116.27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2101502</w:t>
            </w:r>
          </w:p>
        </w:tc>
        <w:tc>
          <w:tcPr>
            <w:tcW w:w="1095" w:type="dxa"/>
            <w:vAlign w:val="center"/>
          </w:tcPr>
          <w:p>
            <w:pPr>
              <w:pStyle w:val="14"/>
            </w:pPr>
            <w:r>
              <w:t>一般行政管理事务</w:t>
            </w:r>
          </w:p>
        </w:tc>
        <w:tc>
          <w:tcPr>
            <w:tcW w:w="1095" w:type="dxa"/>
            <w:vAlign w:val="center"/>
          </w:tcPr>
          <w:p>
            <w:pPr>
              <w:pStyle w:val="13"/>
            </w:pPr>
            <w:r>
              <w:t>40.00</w:t>
            </w:r>
          </w:p>
        </w:tc>
        <w:tc>
          <w:tcPr>
            <w:tcW w:w="1095" w:type="dxa"/>
            <w:vAlign w:val="center"/>
          </w:tcPr>
          <w:p>
            <w:pPr>
              <w:pStyle w:val="13"/>
            </w:pPr>
          </w:p>
        </w:tc>
        <w:tc>
          <w:tcPr>
            <w:tcW w:w="1095" w:type="dxa"/>
            <w:vAlign w:val="center"/>
          </w:tcPr>
          <w:p>
            <w:pPr>
              <w:pStyle w:val="13"/>
            </w:pPr>
            <w:r>
              <w:t>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2101505</w:t>
            </w:r>
          </w:p>
        </w:tc>
        <w:tc>
          <w:tcPr>
            <w:tcW w:w="1095" w:type="dxa"/>
            <w:vAlign w:val="center"/>
          </w:tcPr>
          <w:p>
            <w:pPr>
              <w:pStyle w:val="14"/>
            </w:pPr>
            <w:r>
              <w:t>医疗保障政策管理</w:t>
            </w:r>
          </w:p>
        </w:tc>
        <w:tc>
          <w:tcPr>
            <w:tcW w:w="1095" w:type="dxa"/>
            <w:vAlign w:val="center"/>
          </w:tcPr>
          <w:p>
            <w:pPr>
              <w:pStyle w:val="13"/>
            </w:pPr>
            <w:r>
              <w:t>43.00</w:t>
            </w:r>
          </w:p>
        </w:tc>
        <w:tc>
          <w:tcPr>
            <w:tcW w:w="1095" w:type="dxa"/>
            <w:vAlign w:val="center"/>
          </w:tcPr>
          <w:p>
            <w:pPr>
              <w:pStyle w:val="13"/>
            </w:pPr>
          </w:p>
        </w:tc>
        <w:tc>
          <w:tcPr>
            <w:tcW w:w="1095" w:type="dxa"/>
            <w:vAlign w:val="center"/>
          </w:tcPr>
          <w:p>
            <w:pPr>
              <w:pStyle w:val="13"/>
            </w:pPr>
            <w:r>
              <w:t>43.00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45.73</w:t>
            </w:r>
          </w:p>
        </w:tc>
        <w:tc>
          <w:tcPr>
            <w:tcW w:w="1095" w:type="dxa"/>
            <w:vAlign w:val="center"/>
          </w:tcPr>
          <w:p>
            <w:pPr>
              <w:pStyle w:val="13"/>
            </w:pPr>
            <w:r>
              <w:t>45.73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45.73</w:t>
            </w:r>
          </w:p>
        </w:tc>
        <w:tc>
          <w:tcPr>
            <w:tcW w:w="1095" w:type="dxa"/>
            <w:vAlign w:val="center"/>
          </w:tcPr>
          <w:p>
            <w:pPr>
              <w:pStyle w:val="13"/>
            </w:pPr>
            <w:r>
              <w:t>45.73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45.73</w:t>
            </w:r>
          </w:p>
        </w:tc>
        <w:tc>
          <w:tcPr>
            <w:tcW w:w="1095" w:type="dxa"/>
            <w:vAlign w:val="center"/>
          </w:tcPr>
          <w:p>
            <w:pPr>
              <w:pStyle w:val="13"/>
            </w:pPr>
            <w:r>
              <w:t>45.73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22960</w:t>
            </w:r>
          </w:p>
        </w:tc>
        <w:tc>
          <w:tcPr>
            <w:tcW w:w="1095" w:type="dxa"/>
            <w:vAlign w:val="center"/>
          </w:tcPr>
          <w:p>
            <w:pPr>
              <w:pStyle w:val="14"/>
            </w:pPr>
            <w:r>
              <w:t>彩票公益金安排的支出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2296013</w:t>
            </w:r>
          </w:p>
        </w:tc>
        <w:tc>
          <w:tcPr>
            <w:tcW w:w="1095" w:type="dxa"/>
            <w:vAlign w:val="center"/>
          </w:tcPr>
          <w:p>
            <w:pPr>
              <w:pStyle w:val="14"/>
            </w:pPr>
            <w:r>
              <w:t>用于城乡医疗救助的彩票公益金支出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234"/>
        <w:gridCol w:w="998"/>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698"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46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6"/>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gridSpan w:val="2"/>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gridSpan w:val="2"/>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10314.63</w:t>
            </w:r>
          </w:p>
        </w:tc>
        <w:tc>
          <w:tcPr>
            <w:tcW w:w="1232" w:type="dxa"/>
            <w:vAlign w:val="center"/>
          </w:tcPr>
          <w:p>
            <w:pPr>
              <w:pStyle w:val="14"/>
            </w:pPr>
            <w:r>
              <w:t>一、一般公共服务支出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7.00</w:t>
            </w:r>
          </w:p>
        </w:tc>
        <w:tc>
          <w:tcPr>
            <w:tcW w:w="1232" w:type="dxa"/>
            <w:vAlign w:val="center"/>
          </w:tcPr>
          <w:p>
            <w:pPr>
              <w:pStyle w:val="14"/>
            </w:pPr>
            <w:r>
              <w:t>二、外交支出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75.67</w:t>
            </w:r>
          </w:p>
        </w:tc>
        <w:tc>
          <w:tcPr>
            <w:tcW w:w="1232" w:type="dxa"/>
            <w:gridSpan w:val="2"/>
            <w:vAlign w:val="center"/>
          </w:tcPr>
          <w:p>
            <w:pPr>
              <w:pStyle w:val="13"/>
            </w:pPr>
            <w:r>
              <w:t>75.67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10193.23</w:t>
            </w:r>
          </w:p>
        </w:tc>
        <w:tc>
          <w:tcPr>
            <w:tcW w:w="1232" w:type="dxa"/>
            <w:gridSpan w:val="2"/>
            <w:vAlign w:val="center"/>
          </w:tcPr>
          <w:p>
            <w:pPr>
              <w:pStyle w:val="13"/>
            </w:pPr>
            <w:r>
              <w:t>10193.23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45.73</w:t>
            </w:r>
          </w:p>
        </w:tc>
        <w:tc>
          <w:tcPr>
            <w:tcW w:w="1232" w:type="dxa"/>
            <w:gridSpan w:val="2"/>
            <w:vAlign w:val="center"/>
          </w:tcPr>
          <w:p>
            <w:pPr>
              <w:pStyle w:val="13"/>
            </w:pPr>
            <w:r>
              <w:t>45.73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7.00</w:t>
            </w:r>
          </w:p>
        </w:tc>
        <w:tc>
          <w:tcPr>
            <w:tcW w:w="1232" w:type="dxa"/>
            <w:gridSpan w:val="2"/>
            <w:vAlign w:val="center"/>
          </w:tcPr>
          <w:p>
            <w:pPr>
              <w:pStyle w:val="13"/>
            </w:pPr>
          </w:p>
        </w:tc>
        <w:tc>
          <w:tcPr>
            <w:tcW w:w="1232" w:type="dxa"/>
            <w:vAlign w:val="center"/>
          </w:tcPr>
          <w:p>
            <w:pPr>
              <w:pStyle w:val="13"/>
            </w:pPr>
            <w:r>
              <w:t>7.00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10321.63</w:t>
            </w:r>
          </w:p>
        </w:tc>
        <w:tc>
          <w:tcPr>
            <w:tcW w:w="1232" w:type="dxa"/>
            <w:vAlign w:val="center"/>
          </w:tcPr>
          <w:p>
            <w:pPr>
              <w:pStyle w:val="16"/>
            </w:pPr>
            <w:r>
              <w:t>本年支出合计</w:t>
            </w:r>
          </w:p>
        </w:tc>
        <w:tc>
          <w:tcPr>
            <w:tcW w:w="1232" w:type="dxa"/>
            <w:vAlign w:val="center"/>
          </w:tcPr>
          <w:p>
            <w:pPr>
              <w:pStyle w:val="17"/>
            </w:pPr>
            <w:r>
              <w:t>10321.63</w:t>
            </w:r>
          </w:p>
        </w:tc>
        <w:tc>
          <w:tcPr>
            <w:tcW w:w="1232" w:type="dxa"/>
            <w:gridSpan w:val="2"/>
            <w:vAlign w:val="center"/>
          </w:tcPr>
          <w:p>
            <w:pPr>
              <w:pStyle w:val="17"/>
            </w:pPr>
            <w:r>
              <w:t>10314.63</w:t>
            </w:r>
          </w:p>
        </w:tc>
        <w:tc>
          <w:tcPr>
            <w:tcW w:w="1232" w:type="dxa"/>
            <w:vAlign w:val="center"/>
          </w:tcPr>
          <w:p>
            <w:pPr>
              <w:pStyle w:val="17"/>
            </w:pPr>
            <w:r>
              <w:t>7.00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gridSpan w:val="2"/>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10321.63</w:t>
            </w:r>
          </w:p>
        </w:tc>
        <w:tc>
          <w:tcPr>
            <w:tcW w:w="1232" w:type="dxa"/>
            <w:vAlign w:val="center"/>
          </w:tcPr>
          <w:p>
            <w:pPr>
              <w:pStyle w:val="16"/>
            </w:pPr>
            <w:r>
              <w:t>支出总计</w:t>
            </w:r>
          </w:p>
        </w:tc>
        <w:tc>
          <w:tcPr>
            <w:tcW w:w="1232" w:type="dxa"/>
            <w:vAlign w:val="center"/>
          </w:tcPr>
          <w:p>
            <w:pPr>
              <w:pStyle w:val="17"/>
            </w:pPr>
            <w:r>
              <w:t>10321.63</w:t>
            </w:r>
          </w:p>
        </w:tc>
        <w:tc>
          <w:tcPr>
            <w:tcW w:w="1232" w:type="dxa"/>
            <w:gridSpan w:val="2"/>
            <w:vAlign w:val="center"/>
          </w:tcPr>
          <w:p>
            <w:pPr>
              <w:pStyle w:val="17"/>
            </w:pPr>
            <w:r>
              <w:t>10314.63</w:t>
            </w:r>
          </w:p>
        </w:tc>
        <w:tc>
          <w:tcPr>
            <w:tcW w:w="1232" w:type="dxa"/>
            <w:vAlign w:val="center"/>
          </w:tcPr>
          <w:p>
            <w:pPr>
              <w:pStyle w:val="17"/>
            </w:pPr>
            <w:r>
              <w:t>7.00</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0"/>
        <w:gridCol w:w="11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100" w:type="dxa"/>
            <w:tcBorders>
              <w:top w:val="single" w:color="FFFFFF" w:sz="6" w:space="0"/>
              <w:left w:val="single" w:color="FFFFFF" w:sz="6" w:space="0"/>
              <w:right w:val="single" w:color="FFFFFF" w:sz="6" w:space="0"/>
            </w:tcBorders>
            <w:vAlign w:val="center"/>
          </w:tcPr>
          <w:p>
            <w:pPr>
              <w:pStyle w:val="10"/>
            </w:pPr>
            <w:r>
              <w:t>预算年度：2022</w:t>
            </w:r>
          </w:p>
        </w:tc>
        <w:tc>
          <w:tcPr>
            <w:tcW w:w="28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00" w:type="dxa"/>
            <w:vMerge w:val="restart"/>
            <w:vAlign w:val="center"/>
          </w:tcPr>
          <w:p>
            <w:pPr>
              <w:pStyle w:val="12"/>
            </w:pPr>
            <w:r>
              <w:t>合计</w:t>
            </w:r>
          </w:p>
        </w:tc>
        <w:tc>
          <w:tcPr>
            <w:tcW w:w="118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0" w:type="dxa"/>
            <w:vMerge w:val="continue"/>
          </w:tcPr>
          <w:p/>
        </w:tc>
        <w:tc>
          <w:tcPr>
            <w:tcW w:w="11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0" w:type="dxa"/>
            <w:vAlign w:val="center"/>
          </w:tcPr>
          <w:p>
            <w:pPr>
              <w:pStyle w:val="12"/>
            </w:pPr>
            <w:r>
              <w:t>3</w:t>
            </w:r>
          </w:p>
        </w:tc>
        <w:tc>
          <w:tcPr>
            <w:tcW w:w="11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100" w:type="dxa"/>
            <w:vAlign w:val="center"/>
          </w:tcPr>
          <w:p>
            <w:pPr>
              <w:pStyle w:val="17"/>
            </w:pPr>
            <w:r>
              <w:t>10314.63</w:t>
            </w:r>
          </w:p>
        </w:tc>
        <w:tc>
          <w:tcPr>
            <w:tcW w:w="1186" w:type="dxa"/>
            <w:vAlign w:val="center"/>
          </w:tcPr>
          <w:p>
            <w:pPr>
              <w:pStyle w:val="17"/>
            </w:pPr>
            <w:r>
              <w:t>1252.41</w:t>
            </w:r>
          </w:p>
        </w:tc>
        <w:tc>
          <w:tcPr>
            <w:tcW w:w="1643" w:type="dxa"/>
            <w:vAlign w:val="center"/>
          </w:tcPr>
          <w:p>
            <w:pPr>
              <w:pStyle w:val="17"/>
            </w:pPr>
            <w:r>
              <w:t>9062.22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2100" w:type="dxa"/>
            <w:vAlign w:val="center"/>
          </w:tcPr>
          <w:p>
            <w:pPr>
              <w:pStyle w:val="13"/>
            </w:pPr>
            <w:r>
              <w:t>75.67</w:t>
            </w:r>
          </w:p>
        </w:tc>
        <w:tc>
          <w:tcPr>
            <w:tcW w:w="1186" w:type="dxa"/>
            <w:vAlign w:val="center"/>
          </w:tcPr>
          <w:p>
            <w:pPr>
              <w:pStyle w:val="13"/>
            </w:pPr>
            <w:r>
              <w:t>66.67</w:t>
            </w: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2100" w:type="dxa"/>
            <w:vAlign w:val="center"/>
          </w:tcPr>
          <w:p>
            <w:pPr>
              <w:pStyle w:val="13"/>
            </w:pPr>
            <w:r>
              <w:t>66.67</w:t>
            </w:r>
          </w:p>
        </w:tc>
        <w:tc>
          <w:tcPr>
            <w:tcW w:w="1186" w:type="dxa"/>
            <w:vAlign w:val="center"/>
          </w:tcPr>
          <w:p>
            <w:pPr>
              <w:pStyle w:val="13"/>
            </w:pPr>
            <w:r>
              <w:t>66.67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2100" w:type="dxa"/>
            <w:vAlign w:val="center"/>
          </w:tcPr>
          <w:p>
            <w:pPr>
              <w:pStyle w:val="13"/>
            </w:pPr>
            <w:r>
              <w:t>5.72</w:t>
            </w:r>
          </w:p>
        </w:tc>
        <w:tc>
          <w:tcPr>
            <w:tcW w:w="1186" w:type="dxa"/>
            <w:vAlign w:val="center"/>
          </w:tcPr>
          <w:p>
            <w:pPr>
              <w:pStyle w:val="13"/>
            </w:pPr>
            <w:r>
              <w:t>5.72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2100" w:type="dxa"/>
            <w:vAlign w:val="center"/>
          </w:tcPr>
          <w:p>
            <w:pPr>
              <w:pStyle w:val="13"/>
            </w:pPr>
            <w:r>
              <w:t>60.95</w:t>
            </w:r>
          </w:p>
        </w:tc>
        <w:tc>
          <w:tcPr>
            <w:tcW w:w="1186" w:type="dxa"/>
            <w:vAlign w:val="center"/>
          </w:tcPr>
          <w:p>
            <w:pPr>
              <w:pStyle w:val="13"/>
            </w:pPr>
            <w:r>
              <w:t>60.95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20899</w:t>
            </w:r>
          </w:p>
        </w:tc>
        <w:tc>
          <w:tcPr>
            <w:tcW w:w="1643" w:type="dxa"/>
            <w:vAlign w:val="center"/>
          </w:tcPr>
          <w:p>
            <w:pPr>
              <w:pStyle w:val="14"/>
            </w:pPr>
            <w:r>
              <w:t>其他社会保障和就业支出</w:t>
            </w:r>
          </w:p>
        </w:tc>
        <w:tc>
          <w:tcPr>
            <w:tcW w:w="2100" w:type="dxa"/>
            <w:vAlign w:val="center"/>
          </w:tcPr>
          <w:p>
            <w:pPr>
              <w:pStyle w:val="13"/>
            </w:pPr>
            <w:r>
              <w:t>9.00</w:t>
            </w:r>
          </w:p>
        </w:tc>
        <w:tc>
          <w:tcPr>
            <w:tcW w:w="1186"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2089999</w:t>
            </w:r>
          </w:p>
        </w:tc>
        <w:tc>
          <w:tcPr>
            <w:tcW w:w="1643" w:type="dxa"/>
            <w:vAlign w:val="center"/>
          </w:tcPr>
          <w:p>
            <w:pPr>
              <w:pStyle w:val="14"/>
            </w:pPr>
            <w:r>
              <w:t>其他社会保障和就业支出</w:t>
            </w:r>
          </w:p>
        </w:tc>
        <w:tc>
          <w:tcPr>
            <w:tcW w:w="2100" w:type="dxa"/>
            <w:vAlign w:val="center"/>
          </w:tcPr>
          <w:p>
            <w:pPr>
              <w:pStyle w:val="13"/>
            </w:pPr>
            <w:r>
              <w:t>9.00</w:t>
            </w:r>
          </w:p>
        </w:tc>
        <w:tc>
          <w:tcPr>
            <w:tcW w:w="1186"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2100" w:type="dxa"/>
            <w:vAlign w:val="center"/>
          </w:tcPr>
          <w:p>
            <w:pPr>
              <w:pStyle w:val="13"/>
            </w:pPr>
            <w:r>
              <w:t>10193.23</w:t>
            </w:r>
          </w:p>
        </w:tc>
        <w:tc>
          <w:tcPr>
            <w:tcW w:w="1186" w:type="dxa"/>
            <w:vAlign w:val="center"/>
          </w:tcPr>
          <w:p>
            <w:pPr>
              <w:pStyle w:val="13"/>
            </w:pPr>
            <w:r>
              <w:t>1140.01</w:t>
            </w:r>
          </w:p>
        </w:tc>
        <w:tc>
          <w:tcPr>
            <w:tcW w:w="1643" w:type="dxa"/>
            <w:vAlign w:val="center"/>
          </w:tcPr>
          <w:p>
            <w:pPr>
              <w:pStyle w:val="13"/>
            </w:pPr>
            <w:r>
              <w:t>9053.22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2100" w:type="dxa"/>
            <w:vAlign w:val="center"/>
          </w:tcPr>
          <w:p>
            <w:pPr>
              <w:pStyle w:val="13"/>
            </w:pPr>
            <w:r>
              <w:t>23.74</w:t>
            </w:r>
          </w:p>
        </w:tc>
        <w:tc>
          <w:tcPr>
            <w:tcW w:w="1186" w:type="dxa"/>
            <w:vAlign w:val="center"/>
          </w:tcPr>
          <w:p>
            <w:pPr>
              <w:pStyle w:val="13"/>
            </w:pPr>
            <w:r>
              <w:t>23.74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2101101</w:t>
            </w:r>
          </w:p>
        </w:tc>
        <w:tc>
          <w:tcPr>
            <w:tcW w:w="1643" w:type="dxa"/>
            <w:vAlign w:val="center"/>
          </w:tcPr>
          <w:p>
            <w:pPr>
              <w:pStyle w:val="14"/>
            </w:pPr>
            <w:r>
              <w:t>行政单位医疗</w:t>
            </w:r>
          </w:p>
        </w:tc>
        <w:tc>
          <w:tcPr>
            <w:tcW w:w="2100" w:type="dxa"/>
            <w:vAlign w:val="center"/>
          </w:tcPr>
          <w:p>
            <w:pPr>
              <w:pStyle w:val="13"/>
            </w:pPr>
            <w:r>
              <w:t>23.74</w:t>
            </w:r>
          </w:p>
        </w:tc>
        <w:tc>
          <w:tcPr>
            <w:tcW w:w="1186" w:type="dxa"/>
            <w:vAlign w:val="center"/>
          </w:tcPr>
          <w:p>
            <w:pPr>
              <w:pStyle w:val="13"/>
            </w:pPr>
            <w:r>
              <w:t>23.74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2100" w:type="dxa"/>
            <w:vAlign w:val="center"/>
          </w:tcPr>
          <w:p>
            <w:pPr>
              <w:pStyle w:val="13"/>
            </w:pPr>
            <w:r>
              <w:t>7910.22</w:t>
            </w:r>
          </w:p>
        </w:tc>
        <w:tc>
          <w:tcPr>
            <w:tcW w:w="1186" w:type="dxa"/>
            <w:vAlign w:val="center"/>
          </w:tcPr>
          <w:p>
            <w:pPr>
              <w:pStyle w:val="13"/>
            </w:pPr>
          </w:p>
        </w:tc>
        <w:tc>
          <w:tcPr>
            <w:tcW w:w="1643" w:type="dxa"/>
            <w:vAlign w:val="center"/>
          </w:tcPr>
          <w:p>
            <w:pPr>
              <w:pStyle w:val="13"/>
            </w:pPr>
            <w:r>
              <w:t>7910.22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2100" w:type="dxa"/>
            <w:vAlign w:val="center"/>
          </w:tcPr>
          <w:p>
            <w:pPr>
              <w:pStyle w:val="13"/>
            </w:pPr>
            <w:r>
              <w:t>590.22</w:t>
            </w:r>
          </w:p>
        </w:tc>
        <w:tc>
          <w:tcPr>
            <w:tcW w:w="1186" w:type="dxa"/>
            <w:vAlign w:val="center"/>
          </w:tcPr>
          <w:p>
            <w:pPr>
              <w:pStyle w:val="13"/>
            </w:pPr>
          </w:p>
        </w:tc>
        <w:tc>
          <w:tcPr>
            <w:tcW w:w="1643" w:type="dxa"/>
            <w:vAlign w:val="center"/>
          </w:tcPr>
          <w:p>
            <w:pPr>
              <w:pStyle w:val="13"/>
            </w:pPr>
            <w:r>
              <w:t>590.22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2101202</w:t>
            </w:r>
          </w:p>
        </w:tc>
        <w:tc>
          <w:tcPr>
            <w:tcW w:w="1643" w:type="dxa"/>
            <w:vAlign w:val="center"/>
          </w:tcPr>
          <w:p>
            <w:pPr>
              <w:pStyle w:val="14"/>
            </w:pPr>
            <w:r>
              <w:t>财政对城乡居民基本医疗保险基金的补助</w:t>
            </w:r>
          </w:p>
        </w:tc>
        <w:tc>
          <w:tcPr>
            <w:tcW w:w="2100" w:type="dxa"/>
            <w:vAlign w:val="center"/>
          </w:tcPr>
          <w:p>
            <w:pPr>
              <w:pStyle w:val="13"/>
            </w:pPr>
            <w:r>
              <w:t>7320.00</w:t>
            </w:r>
          </w:p>
        </w:tc>
        <w:tc>
          <w:tcPr>
            <w:tcW w:w="1186" w:type="dxa"/>
            <w:vAlign w:val="center"/>
          </w:tcPr>
          <w:p>
            <w:pPr>
              <w:pStyle w:val="13"/>
            </w:pPr>
          </w:p>
        </w:tc>
        <w:tc>
          <w:tcPr>
            <w:tcW w:w="1643" w:type="dxa"/>
            <w:vAlign w:val="center"/>
          </w:tcPr>
          <w:p>
            <w:pPr>
              <w:pStyle w:val="13"/>
            </w:pPr>
            <w:r>
              <w:t>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21013</w:t>
            </w:r>
          </w:p>
        </w:tc>
        <w:tc>
          <w:tcPr>
            <w:tcW w:w="1643" w:type="dxa"/>
            <w:vAlign w:val="center"/>
          </w:tcPr>
          <w:p>
            <w:pPr>
              <w:pStyle w:val="14"/>
            </w:pPr>
            <w:r>
              <w:t>医疗救助</w:t>
            </w:r>
          </w:p>
        </w:tc>
        <w:tc>
          <w:tcPr>
            <w:tcW w:w="2100" w:type="dxa"/>
            <w:vAlign w:val="center"/>
          </w:tcPr>
          <w:p>
            <w:pPr>
              <w:pStyle w:val="13"/>
            </w:pPr>
            <w:r>
              <w:t>1060.00</w:t>
            </w:r>
          </w:p>
        </w:tc>
        <w:tc>
          <w:tcPr>
            <w:tcW w:w="1186" w:type="dxa"/>
            <w:vAlign w:val="center"/>
          </w:tcPr>
          <w:p>
            <w:pPr>
              <w:pStyle w:val="13"/>
            </w:pPr>
          </w:p>
        </w:tc>
        <w:tc>
          <w:tcPr>
            <w:tcW w:w="1643" w:type="dxa"/>
            <w:vAlign w:val="center"/>
          </w:tcPr>
          <w:p>
            <w:pPr>
              <w:pStyle w:val="13"/>
            </w:pPr>
            <w:r>
              <w:t>1060.00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2101301</w:t>
            </w:r>
          </w:p>
        </w:tc>
        <w:tc>
          <w:tcPr>
            <w:tcW w:w="1643" w:type="dxa"/>
            <w:vAlign w:val="center"/>
          </w:tcPr>
          <w:p>
            <w:pPr>
              <w:pStyle w:val="14"/>
            </w:pPr>
            <w:r>
              <w:t>城乡医疗救助</w:t>
            </w:r>
          </w:p>
        </w:tc>
        <w:tc>
          <w:tcPr>
            <w:tcW w:w="2100" w:type="dxa"/>
            <w:vAlign w:val="center"/>
          </w:tcPr>
          <w:p>
            <w:pPr>
              <w:pStyle w:val="13"/>
            </w:pPr>
            <w:r>
              <w:t>1060.00</w:t>
            </w:r>
          </w:p>
        </w:tc>
        <w:tc>
          <w:tcPr>
            <w:tcW w:w="1186" w:type="dxa"/>
            <w:vAlign w:val="center"/>
          </w:tcPr>
          <w:p>
            <w:pPr>
              <w:pStyle w:val="13"/>
            </w:pPr>
          </w:p>
        </w:tc>
        <w:tc>
          <w:tcPr>
            <w:tcW w:w="1643" w:type="dxa"/>
            <w:vAlign w:val="center"/>
          </w:tcPr>
          <w:p>
            <w:pPr>
              <w:pStyle w:val="13"/>
            </w:pPr>
            <w:r>
              <w:t>1060.00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21015</w:t>
            </w:r>
          </w:p>
        </w:tc>
        <w:tc>
          <w:tcPr>
            <w:tcW w:w="1643" w:type="dxa"/>
            <w:vAlign w:val="center"/>
          </w:tcPr>
          <w:p>
            <w:pPr>
              <w:pStyle w:val="14"/>
            </w:pPr>
            <w:r>
              <w:t>医疗保障管理事务</w:t>
            </w:r>
          </w:p>
        </w:tc>
        <w:tc>
          <w:tcPr>
            <w:tcW w:w="2100" w:type="dxa"/>
            <w:vAlign w:val="center"/>
          </w:tcPr>
          <w:p>
            <w:pPr>
              <w:pStyle w:val="13"/>
            </w:pPr>
            <w:r>
              <w:t>1199.27</w:t>
            </w:r>
          </w:p>
        </w:tc>
        <w:tc>
          <w:tcPr>
            <w:tcW w:w="1186" w:type="dxa"/>
            <w:vAlign w:val="center"/>
          </w:tcPr>
          <w:p>
            <w:pPr>
              <w:pStyle w:val="13"/>
            </w:pPr>
            <w:r>
              <w:t>1116.27</w:t>
            </w:r>
          </w:p>
        </w:tc>
        <w:tc>
          <w:tcPr>
            <w:tcW w:w="1643" w:type="dxa"/>
            <w:vAlign w:val="center"/>
          </w:tcPr>
          <w:p>
            <w:pPr>
              <w:pStyle w:val="13"/>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2101501</w:t>
            </w:r>
          </w:p>
        </w:tc>
        <w:tc>
          <w:tcPr>
            <w:tcW w:w="1643" w:type="dxa"/>
            <w:vAlign w:val="center"/>
          </w:tcPr>
          <w:p>
            <w:pPr>
              <w:pStyle w:val="14"/>
            </w:pPr>
            <w:r>
              <w:t>行政运行</w:t>
            </w:r>
          </w:p>
        </w:tc>
        <w:tc>
          <w:tcPr>
            <w:tcW w:w="2100" w:type="dxa"/>
            <w:vAlign w:val="center"/>
          </w:tcPr>
          <w:p>
            <w:pPr>
              <w:pStyle w:val="13"/>
            </w:pPr>
            <w:r>
              <w:t>1116.27</w:t>
            </w:r>
          </w:p>
        </w:tc>
        <w:tc>
          <w:tcPr>
            <w:tcW w:w="1186" w:type="dxa"/>
            <w:vAlign w:val="center"/>
          </w:tcPr>
          <w:p>
            <w:pPr>
              <w:pStyle w:val="13"/>
            </w:pPr>
            <w:r>
              <w:t>1116.27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2101502</w:t>
            </w:r>
          </w:p>
        </w:tc>
        <w:tc>
          <w:tcPr>
            <w:tcW w:w="1643" w:type="dxa"/>
            <w:vAlign w:val="center"/>
          </w:tcPr>
          <w:p>
            <w:pPr>
              <w:pStyle w:val="14"/>
            </w:pPr>
            <w:r>
              <w:t>一般行政管理事务</w:t>
            </w:r>
          </w:p>
        </w:tc>
        <w:tc>
          <w:tcPr>
            <w:tcW w:w="2100" w:type="dxa"/>
            <w:vAlign w:val="center"/>
          </w:tcPr>
          <w:p>
            <w:pPr>
              <w:pStyle w:val="13"/>
            </w:pPr>
            <w:r>
              <w:t>40.00</w:t>
            </w:r>
          </w:p>
        </w:tc>
        <w:tc>
          <w:tcPr>
            <w:tcW w:w="1186" w:type="dxa"/>
            <w:vAlign w:val="center"/>
          </w:tcPr>
          <w:p>
            <w:pPr>
              <w:pStyle w:val="13"/>
            </w:pPr>
          </w:p>
        </w:tc>
        <w:tc>
          <w:tcPr>
            <w:tcW w:w="1643"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2101505</w:t>
            </w:r>
          </w:p>
        </w:tc>
        <w:tc>
          <w:tcPr>
            <w:tcW w:w="1643" w:type="dxa"/>
            <w:vAlign w:val="center"/>
          </w:tcPr>
          <w:p>
            <w:pPr>
              <w:pStyle w:val="14"/>
            </w:pPr>
            <w:r>
              <w:t>医疗保障政策管理</w:t>
            </w:r>
          </w:p>
        </w:tc>
        <w:tc>
          <w:tcPr>
            <w:tcW w:w="2100" w:type="dxa"/>
            <w:vAlign w:val="center"/>
          </w:tcPr>
          <w:p>
            <w:pPr>
              <w:pStyle w:val="13"/>
            </w:pPr>
            <w:r>
              <w:t>43.00</w:t>
            </w:r>
          </w:p>
        </w:tc>
        <w:tc>
          <w:tcPr>
            <w:tcW w:w="1186" w:type="dxa"/>
            <w:vAlign w:val="center"/>
          </w:tcPr>
          <w:p>
            <w:pPr>
              <w:pStyle w:val="13"/>
            </w:pPr>
          </w:p>
        </w:tc>
        <w:tc>
          <w:tcPr>
            <w:tcW w:w="1643"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221</w:t>
            </w:r>
          </w:p>
        </w:tc>
        <w:tc>
          <w:tcPr>
            <w:tcW w:w="1643" w:type="dxa"/>
            <w:vAlign w:val="center"/>
          </w:tcPr>
          <w:p>
            <w:pPr>
              <w:pStyle w:val="14"/>
            </w:pPr>
            <w:r>
              <w:t>住房保障支出</w:t>
            </w:r>
          </w:p>
        </w:tc>
        <w:tc>
          <w:tcPr>
            <w:tcW w:w="2100" w:type="dxa"/>
            <w:vAlign w:val="center"/>
          </w:tcPr>
          <w:p>
            <w:pPr>
              <w:pStyle w:val="13"/>
            </w:pPr>
            <w:r>
              <w:t>45.73</w:t>
            </w:r>
          </w:p>
        </w:tc>
        <w:tc>
          <w:tcPr>
            <w:tcW w:w="1186" w:type="dxa"/>
            <w:vAlign w:val="center"/>
          </w:tcPr>
          <w:p>
            <w:pPr>
              <w:pStyle w:val="13"/>
            </w:pPr>
            <w:r>
              <w:t>45.73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22102</w:t>
            </w:r>
          </w:p>
        </w:tc>
        <w:tc>
          <w:tcPr>
            <w:tcW w:w="1643" w:type="dxa"/>
            <w:vAlign w:val="center"/>
          </w:tcPr>
          <w:p>
            <w:pPr>
              <w:pStyle w:val="14"/>
            </w:pPr>
            <w:r>
              <w:t>住房改革支出</w:t>
            </w:r>
          </w:p>
        </w:tc>
        <w:tc>
          <w:tcPr>
            <w:tcW w:w="2100" w:type="dxa"/>
            <w:vAlign w:val="center"/>
          </w:tcPr>
          <w:p>
            <w:pPr>
              <w:pStyle w:val="13"/>
            </w:pPr>
            <w:r>
              <w:t>45.73</w:t>
            </w:r>
          </w:p>
        </w:tc>
        <w:tc>
          <w:tcPr>
            <w:tcW w:w="1186" w:type="dxa"/>
            <w:vAlign w:val="center"/>
          </w:tcPr>
          <w:p>
            <w:pPr>
              <w:pStyle w:val="13"/>
            </w:pPr>
            <w:r>
              <w:t>45.73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2210201</w:t>
            </w:r>
          </w:p>
        </w:tc>
        <w:tc>
          <w:tcPr>
            <w:tcW w:w="1643" w:type="dxa"/>
            <w:vAlign w:val="center"/>
          </w:tcPr>
          <w:p>
            <w:pPr>
              <w:pStyle w:val="14"/>
            </w:pPr>
            <w:r>
              <w:t>住房公积金</w:t>
            </w:r>
          </w:p>
        </w:tc>
        <w:tc>
          <w:tcPr>
            <w:tcW w:w="2100" w:type="dxa"/>
            <w:vAlign w:val="center"/>
          </w:tcPr>
          <w:p>
            <w:pPr>
              <w:pStyle w:val="13"/>
            </w:pPr>
            <w:r>
              <w:t>45.73</w:t>
            </w:r>
          </w:p>
        </w:tc>
        <w:tc>
          <w:tcPr>
            <w:tcW w:w="1186" w:type="dxa"/>
            <w:vAlign w:val="center"/>
          </w:tcPr>
          <w:p>
            <w:pPr>
              <w:pStyle w:val="13"/>
            </w:pPr>
            <w:r>
              <w:t>45.73</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6"/>
        <w:gridCol w:w="122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066" w:type="dxa"/>
            <w:tcBorders>
              <w:top w:val="single" w:color="FFFFFF" w:sz="6" w:space="0"/>
              <w:left w:val="single" w:color="FFFFFF" w:sz="6" w:space="0"/>
              <w:right w:val="single" w:color="FFFFFF" w:sz="6" w:space="0"/>
            </w:tcBorders>
            <w:vAlign w:val="center"/>
          </w:tcPr>
          <w:p>
            <w:pPr>
              <w:pStyle w:val="10"/>
            </w:pPr>
            <w:r>
              <w:t>预算年度：2022</w:t>
            </w:r>
          </w:p>
        </w:tc>
        <w:tc>
          <w:tcPr>
            <w:tcW w:w="28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66" w:type="dxa"/>
            <w:vAlign w:val="center"/>
          </w:tcPr>
          <w:p>
            <w:pPr>
              <w:pStyle w:val="12"/>
            </w:pPr>
            <w:r>
              <w:t>合计</w:t>
            </w:r>
          </w:p>
        </w:tc>
        <w:tc>
          <w:tcPr>
            <w:tcW w:w="1220"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66" w:type="dxa"/>
            <w:vAlign w:val="center"/>
          </w:tcPr>
          <w:p>
            <w:pPr>
              <w:pStyle w:val="12"/>
            </w:pPr>
            <w:r>
              <w:t>3</w:t>
            </w:r>
          </w:p>
        </w:tc>
        <w:tc>
          <w:tcPr>
            <w:tcW w:w="122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66" w:type="dxa"/>
            <w:vAlign w:val="center"/>
          </w:tcPr>
          <w:p>
            <w:pPr>
              <w:pStyle w:val="17"/>
            </w:pPr>
            <w:r>
              <w:t>1252.41</w:t>
            </w:r>
          </w:p>
        </w:tc>
        <w:tc>
          <w:tcPr>
            <w:tcW w:w="1220" w:type="dxa"/>
            <w:vAlign w:val="center"/>
          </w:tcPr>
          <w:p>
            <w:pPr>
              <w:pStyle w:val="17"/>
            </w:pPr>
            <w:r>
              <w:t>1120.00</w:t>
            </w:r>
          </w:p>
        </w:tc>
        <w:tc>
          <w:tcPr>
            <w:tcW w:w="1643" w:type="dxa"/>
            <w:vAlign w:val="center"/>
          </w:tcPr>
          <w:p>
            <w:pPr>
              <w:pStyle w:val="17"/>
            </w:pPr>
            <w:r>
              <w:t>132.41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2066" w:type="dxa"/>
            <w:vAlign w:val="center"/>
          </w:tcPr>
          <w:p>
            <w:pPr>
              <w:pStyle w:val="13"/>
            </w:pPr>
            <w:r>
              <w:t>1055.81</w:t>
            </w:r>
          </w:p>
        </w:tc>
        <w:tc>
          <w:tcPr>
            <w:tcW w:w="1220" w:type="dxa"/>
            <w:vAlign w:val="center"/>
          </w:tcPr>
          <w:p>
            <w:pPr>
              <w:pStyle w:val="13"/>
            </w:pPr>
            <w:r>
              <w:t>1055.81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2066" w:type="dxa"/>
            <w:vAlign w:val="center"/>
          </w:tcPr>
          <w:p>
            <w:pPr>
              <w:pStyle w:val="13"/>
            </w:pPr>
            <w:r>
              <w:t>219.73</w:t>
            </w:r>
          </w:p>
        </w:tc>
        <w:tc>
          <w:tcPr>
            <w:tcW w:w="1220" w:type="dxa"/>
            <w:vAlign w:val="center"/>
          </w:tcPr>
          <w:p>
            <w:pPr>
              <w:pStyle w:val="13"/>
            </w:pPr>
            <w:r>
              <w:t>219.73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2066" w:type="dxa"/>
            <w:vAlign w:val="center"/>
          </w:tcPr>
          <w:p>
            <w:pPr>
              <w:pStyle w:val="13"/>
            </w:pPr>
            <w:r>
              <w:t>73.79</w:t>
            </w:r>
          </w:p>
        </w:tc>
        <w:tc>
          <w:tcPr>
            <w:tcW w:w="1220" w:type="dxa"/>
            <w:vAlign w:val="center"/>
          </w:tcPr>
          <w:p>
            <w:pPr>
              <w:pStyle w:val="13"/>
            </w:pPr>
            <w:r>
              <w:t>73.79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2066" w:type="dxa"/>
            <w:vAlign w:val="center"/>
          </w:tcPr>
          <w:p>
            <w:pPr>
              <w:pStyle w:val="13"/>
            </w:pPr>
            <w:r>
              <w:t>19.12</w:t>
            </w:r>
          </w:p>
        </w:tc>
        <w:tc>
          <w:tcPr>
            <w:tcW w:w="1220" w:type="dxa"/>
            <w:vAlign w:val="center"/>
          </w:tcPr>
          <w:p>
            <w:pPr>
              <w:pStyle w:val="13"/>
            </w:pPr>
            <w:r>
              <w:t>19.12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2066" w:type="dxa"/>
            <w:vAlign w:val="center"/>
          </w:tcPr>
          <w:p>
            <w:pPr>
              <w:pStyle w:val="13"/>
            </w:pPr>
            <w:r>
              <w:t>241.99</w:t>
            </w:r>
          </w:p>
        </w:tc>
        <w:tc>
          <w:tcPr>
            <w:tcW w:w="1220" w:type="dxa"/>
            <w:vAlign w:val="center"/>
          </w:tcPr>
          <w:p>
            <w:pPr>
              <w:pStyle w:val="13"/>
            </w:pPr>
            <w:r>
              <w:t>241.99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2066" w:type="dxa"/>
            <w:vAlign w:val="center"/>
          </w:tcPr>
          <w:p>
            <w:pPr>
              <w:pStyle w:val="13"/>
            </w:pPr>
            <w:r>
              <w:t>60.95</w:t>
            </w:r>
          </w:p>
        </w:tc>
        <w:tc>
          <w:tcPr>
            <w:tcW w:w="1220" w:type="dxa"/>
            <w:vAlign w:val="center"/>
          </w:tcPr>
          <w:p>
            <w:pPr>
              <w:pStyle w:val="13"/>
            </w:pPr>
            <w:r>
              <w:t>60.95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2066" w:type="dxa"/>
            <w:vAlign w:val="center"/>
          </w:tcPr>
          <w:p>
            <w:pPr>
              <w:pStyle w:val="13"/>
            </w:pPr>
            <w:r>
              <w:t>23.74</w:t>
            </w:r>
          </w:p>
        </w:tc>
        <w:tc>
          <w:tcPr>
            <w:tcW w:w="1220" w:type="dxa"/>
            <w:vAlign w:val="center"/>
          </w:tcPr>
          <w:p>
            <w:pPr>
              <w:pStyle w:val="13"/>
            </w:pPr>
            <w:r>
              <w:t>23.74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2066" w:type="dxa"/>
            <w:vAlign w:val="center"/>
          </w:tcPr>
          <w:p>
            <w:pPr>
              <w:pStyle w:val="13"/>
            </w:pPr>
            <w:r>
              <w:t>9.55</w:t>
            </w:r>
          </w:p>
        </w:tc>
        <w:tc>
          <w:tcPr>
            <w:tcW w:w="1220" w:type="dxa"/>
            <w:vAlign w:val="center"/>
          </w:tcPr>
          <w:p>
            <w:pPr>
              <w:pStyle w:val="13"/>
            </w:pPr>
            <w:r>
              <w:t>9.55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2066" w:type="dxa"/>
            <w:vAlign w:val="center"/>
          </w:tcPr>
          <w:p>
            <w:pPr>
              <w:pStyle w:val="13"/>
            </w:pPr>
            <w:r>
              <w:t>45.73</w:t>
            </w:r>
          </w:p>
        </w:tc>
        <w:tc>
          <w:tcPr>
            <w:tcW w:w="1220" w:type="dxa"/>
            <w:vAlign w:val="center"/>
          </w:tcPr>
          <w:p>
            <w:pPr>
              <w:pStyle w:val="13"/>
            </w:pPr>
            <w:r>
              <w:t>45.73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30199</w:t>
            </w:r>
          </w:p>
        </w:tc>
        <w:tc>
          <w:tcPr>
            <w:tcW w:w="1643" w:type="dxa"/>
            <w:vAlign w:val="center"/>
          </w:tcPr>
          <w:p>
            <w:pPr>
              <w:pStyle w:val="14"/>
            </w:pPr>
            <w:r>
              <w:t>其他工资福利支出</w:t>
            </w:r>
          </w:p>
        </w:tc>
        <w:tc>
          <w:tcPr>
            <w:tcW w:w="2066" w:type="dxa"/>
            <w:vAlign w:val="center"/>
          </w:tcPr>
          <w:p>
            <w:pPr>
              <w:pStyle w:val="13"/>
            </w:pPr>
            <w:r>
              <w:t>361.21</w:t>
            </w:r>
          </w:p>
        </w:tc>
        <w:tc>
          <w:tcPr>
            <w:tcW w:w="1220" w:type="dxa"/>
            <w:vAlign w:val="center"/>
          </w:tcPr>
          <w:p>
            <w:pPr>
              <w:pStyle w:val="13"/>
            </w:pPr>
            <w:r>
              <w:t>361.21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2066" w:type="dxa"/>
            <w:vAlign w:val="center"/>
          </w:tcPr>
          <w:p>
            <w:pPr>
              <w:pStyle w:val="13"/>
            </w:pPr>
            <w:r>
              <w:t>132.41</w:t>
            </w:r>
          </w:p>
        </w:tc>
        <w:tc>
          <w:tcPr>
            <w:tcW w:w="1220" w:type="dxa"/>
            <w:vAlign w:val="center"/>
          </w:tcPr>
          <w:p>
            <w:pPr>
              <w:pStyle w:val="13"/>
            </w:pPr>
          </w:p>
        </w:tc>
        <w:tc>
          <w:tcPr>
            <w:tcW w:w="1643" w:type="dxa"/>
            <w:vAlign w:val="center"/>
          </w:tcPr>
          <w:p>
            <w:pPr>
              <w:pStyle w:val="13"/>
            </w:pPr>
            <w:r>
              <w:t>132.41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2066" w:type="dxa"/>
            <w:vAlign w:val="center"/>
          </w:tcPr>
          <w:p>
            <w:pPr>
              <w:pStyle w:val="13"/>
            </w:pPr>
            <w:r>
              <w:t>8.74</w:t>
            </w:r>
          </w:p>
        </w:tc>
        <w:tc>
          <w:tcPr>
            <w:tcW w:w="1220" w:type="dxa"/>
            <w:vAlign w:val="center"/>
          </w:tcPr>
          <w:p>
            <w:pPr>
              <w:pStyle w:val="13"/>
            </w:pPr>
          </w:p>
        </w:tc>
        <w:tc>
          <w:tcPr>
            <w:tcW w:w="1643" w:type="dxa"/>
            <w:vAlign w:val="center"/>
          </w:tcPr>
          <w:p>
            <w:pPr>
              <w:pStyle w:val="13"/>
            </w:pPr>
            <w:r>
              <w:t>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2066" w:type="dxa"/>
            <w:vAlign w:val="center"/>
          </w:tcPr>
          <w:p>
            <w:pPr>
              <w:pStyle w:val="13"/>
            </w:pPr>
            <w:r>
              <w:t>0.81</w:t>
            </w:r>
          </w:p>
        </w:tc>
        <w:tc>
          <w:tcPr>
            <w:tcW w:w="1220" w:type="dxa"/>
            <w:vAlign w:val="center"/>
          </w:tcPr>
          <w:p>
            <w:pPr>
              <w:pStyle w:val="13"/>
            </w:pPr>
          </w:p>
        </w:tc>
        <w:tc>
          <w:tcPr>
            <w:tcW w:w="1643" w:type="dxa"/>
            <w:vAlign w:val="center"/>
          </w:tcPr>
          <w:p>
            <w:pPr>
              <w:pStyle w:val="13"/>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2066" w:type="dxa"/>
            <w:vAlign w:val="center"/>
          </w:tcPr>
          <w:p>
            <w:pPr>
              <w:pStyle w:val="13"/>
            </w:pPr>
            <w:r>
              <w:t>2.43</w:t>
            </w:r>
          </w:p>
        </w:tc>
        <w:tc>
          <w:tcPr>
            <w:tcW w:w="1220" w:type="dxa"/>
            <w:vAlign w:val="center"/>
          </w:tcPr>
          <w:p>
            <w:pPr>
              <w:pStyle w:val="13"/>
            </w:pPr>
          </w:p>
        </w:tc>
        <w:tc>
          <w:tcPr>
            <w:tcW w:w="1643"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2066" w:type="dxa"/>
            <w:vAlign w:val="center"/>
          </w:tcPr>
          <w:p>
            <w:pPr>
              <w:pStyle w:val="13"/>
            </w:pPr>
            <w:r>
              <w:t>6.48</w:t>
            </w:r>
          </w:p>
        </w:tc>
        <w:tc>
          <w:tcPr>
            <w:tcW w:w="1220" w:type="dxa"/>
            <w:vAlign w:val="center"/>
          </w:tcPr>
          <w:p>
            <w:pPr>
              <w:pStyle w:val="13"/>
            </w:pPr>
          </w:p>
        </w:tc>
        <w:tc>
          <w:tcPr>
            <w:tcW w:w="1643" w:type="dxa"/>
            <w:vAlign w:val="center"/>
          </w:tcPr>
          <w:p>
            <w:pPr>
              <w:pStyle w:val="13"/>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2066" w:type="dxa"/>
            <w:vAlign w:val="center"/>
          </w:tcPr>
          <w:p>
            <w:pPr>
              <w:pStyle w:val="13"/>
            </w:pPr>
            <w:r>
              <w:t>45.81</w:t>
            </w:r>
          </w:p>
        </w:tc>
        <w:tc>
          <w:tcPr>
            <w:tcW w:w="1220" w:type="dxa"/>
            <w:vAlign w:val="center"/>
          </w:tcPr>
          <w:p>
            <w:pPr>
              <w:pStyle w:val="13"/>
            </w:pPr>
          </w:p>
        </w:tc>
        <w:tc>
          <w:tcPr>
            <w:tcW w:w="1643" w:type="dxa"/>
            <w:vAlign w:val="center"/>
          </w:tcPr>
          <w:p>
            <w:pPr>
              <w:pStyle w:val="13"/>
            </w:pPr>
            <w:r>
              <w:t>45.81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30208</w:t>
            </w:r>
          </w:p>
        </w:tc>
        <w:tc>
          <w:tcPr>
            <w:tcW w:w="1643" w:type="dxa"/>
            <w:vAlign w:val="center"/>
          </w:tcPr>
          <w:p>
            <w:pPr>
              <w:pStyle w:val="14"/>
            </w:pPr>
            <w:r>
              <w:t>取暖费</w:t>
            </w:r>
          </w:p>
        </w:tc>
        <w:tc>
          <w:tcPr>
            <w:tcW w:w="2066" w:type="dxa"/>
            <w:vAlign w:val="center"/>
          </w:tcPr>
          <w:p>
            <w:pPr>
              <w:pStyle w:val="13"/>
            </w:pPr>
            <w:r>
              <w:t>7.60</w:t>
            </w:r>
          </w:p>
        </w:tc>
        <w:tc>
          <w:tcPr>
            <w:tcW w:w="1220" w:type="dxa"/>
            <w:vAlign w:val="center"/>
          </w:tcPr>
          <w:p>
            <w:pPr>
              <w:pStyle w:val="13"/>
            </w:pPr>
          </w:p>
        </w:tc>
        <w:tc>
          <w:tcPr>
            <w:tcW w:w="1643" w:type="dxa"/>
            <w:vAlign w:val="center"/>
          </w:tcPr>
          <w:p>
            <w:pPr>
              <w:pStyle w:val="13"/>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30209</w:t>
            </w:r>
          </w:p>
        </w:tc>
        <w:tc>
          <w:tcPr>
            <w:tcW w:w="1643" w:type="dxa"/>
            <w:vAlign w:val="center"/>
          </w:tcPr>
          <w:p>
            <w:pPr>
              <w:pStyle w:val="14"/>
            </w:pPr>
            <w:r>
              <w:t>物业管理费</w:t>
            </w:r>
          </w:p>
        </w:tc>
        <w:tc>
          <w:tcPr>
            <w:tcW w:w="2066" w:type="dxa"/>
            <w:vAlign w:val="center"/>
          </w:tcPr>
          <w:p>
            <w:pPr>
              <w:pStyle w:val="13"/>
            </w:pPr>
            <w:r>
              <w:t>8.10</w:t>
            </w:r>
          </w:p>
        </w:tc>
        <w:tc>
          <w:tcPr>
            <w:tcW w:w="1220" w:type="dxa"/>
            <w:vAlign w:val="center"/>
          </w:tcPr>
          <w:p>
            <w:pPr>
              <w:pStyle w:val="13"/>
            </w:pPr>
          </w:p>
        </w:tc>
        <w:tc>
          <w:tcPr>
            <w:tcW w:w="1643" w:type="dxa"/>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30211</w:t>
            </w:r>
          </w:p>
        </w:tc>
        <w:tc>
          <w:tcPr>
            <w:tcW w:w="1643" w:type="dxa"/>
            <w:vAlign w:val="center"/>
          </w:tcPr>
          <w:p>
            <w:pPr>
              <w:pStyle w:val="14"/>
            </w:pPr>
            <w:r>
              <w:t>差旅费</w:t>
            </w:r>
          </w:p>
        </w:tc>
        <w:tc>
          <w:tcPr>
            <w:tcW w:w="2066" w:type="dxa"/>
            <w:vAlign w:val="center"/>
          </w:tcPr>
          <w:p>
            <w:pPr>
              <w:pStyle w:val="13"/>
            </w:pPr>
            <w:r>
              <w:t>7.12</w:t>
            </w:r>
          </w:p>
        </w:tc>
        <w:tc>
          <w:tcPr>
            <w:tcW w:w="1220" w:type="dxa"/>
            <w:vAlign w:val="center"/>
          </w:tcPr>
          <w:p>
            <w:pPr>
              <w:pStyle w:val="13"/>
            </w:pPr>
          </w:p>
        </w:tc>
        <w:tc>
          <w:tcPr>
            <w:tcW w:w="1643" w:type="dxa"/>
            <w:vAlign w:val="center"/>
          </w:tcPr>
          <w:p>
            <w:pPr>
              <w:pStyle w:val="13"/>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30213</w:t>
            </w:r>
          </w:p>
        </w:tc>
        <w:tc>
          <w:tcPr>
            <w:tcW w:w="1643" w:type="dxa"/>
            <w:vAlign w:val="center"/>
          </w:tcPr>
          <w:p>
            <w:pPr>
              <w:pStyle w:val="14"/>
            </w:pPr>
            <w:r>
              <w:t>维修(护)费</w:t>
            </w:r>
          </w:p>
        </w:tc>
        <w:tc>
          <w:tcPr>
            <w:tcW w:w="2066" w:type="dxa"/>
            <w:vAlign w:val="center"/>
          </w:tcPr>
          <w:p>
            <w:pPr>
              <w:pStyle w:val="13"/>
            </w:pPr>
            <w:r>
              <w:t>2.43</w:t>
            </w:r>
          </w:p>
        </w:tc>
        <w:tc>
          <w:tcPr>
            <w:tcW w:w="1220" w:type="dxa"/>
            <w:vAlign w:val="center"/>
          </w:tcPr>
          <w:p>
            <w:pPr>
              <w:pStyle w:val="13"/>
            </w:pPr>
          </w:p>
        </w:tc>
        <w:tc>
          <w:tcPr>
            <w:tcW w:w="1643"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30214</w:t>
            </w:r>
          </w:p>
        </w:tc>
        <w:tc>
          <w:tcPr>
            <w:tcW w:w="1643" w:type="dxa"/>
            <w:vAlign w:val="center"/>
          </w:tcPr>
          <w:p>
            <w:pPr>
              <w:pStyle w:val="14"/>
            </w:pPr>
            <w:r>
              <w:t>租赁费</w:t>
            </w:r>
          </w:p>
        </w:tc>
        <w:tc>
          <w:tcPr>
            <w:tcW w:w="2066" w:type="dxa"/>
            <w:vAlign w:val="center"/>
          </w:tcPr>
          <w:p>
            <w:pPr>
              <w:pStyle w:val="13"/>
            </w:pPr>
            <w:r>
              <w:t>4.80</w:t>
            </w:r>
          </w:p>
        </w:tc>
        <w:tc>
          <w:tcPr>
            <w:tcW w:w="1220"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30216</w:t>
            </w:r>
          </w:p>
        </w:tc>
        <w:tc>
          <w:tcPr>
            <w:tcW w:w="1643" w:type="dxa"/>
            <w:vAlign w:val="center"/>
          </w:tcPr>
          <w:p>
            <w:pPr>
              <w:pStyle w:val="14"/>
            </w:pPr>
            <w:r>
              <w:t>培训费</w:t>
            </w:r>
          </w:p>
        </w:tc>
        <w:tc>
          <w:tcPr>
            <w:tcW w:w="2066" w:type="dxa"/>
            <w:vAlign w:val="center"/>
          </w:tcPr>
          <w:p>
            <w:pPr>
              <w:pStyle w:val="13"/>
            </w:pPr>
            <w:r>
              <w:t>2.76</w:t>
            </w:r>
          </w:p>
        </w:tc>
        <w:tc>
          <w:tcPr>
            <w:tcW w:w="1220" w:type="dxa"/>
            <w:vAlign w:val="center"/>
          </w:tcPr>
          <w:p>
            <w:pPr>
              <w:pStyle w:val="13"/>
            </w:pPr>
          </w:p>
        </w:tc>
        <w:tc>
          <w:tcPr>
            <w:tcW w:w="1643"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30217</w:t>
            </w:r>
          </w:p>
        </w:tc>
        <w:tc>
          <w:tcPr>
            <w:tcW w:w="1643" w:type="dxa"/>
            <w:vAlign w:val="center"/>
          </w:tcPr>
          <w:p>
            <w:pPr>
              <w:pStyle w:val="14"/>
            </w:pPr>
            <w:r>
              <w:t>公务接待费</w:t>
            </w:r>
          </w:p>
        </w:tc>
        <w:tc>
          <w:tcPr>
            <w:tcW w:w="2066" w:type="dxa"/>
            <w:vAlign w:val="center"/>
          </w:tcPr>
          <w:p>
            <w:pPr>
              <w:pStyle w:val="13"/>
            </w:pPr>
            <w:r>
              <w:t>0.62</w:t>
            </w:r>
          </w:p>
        </w:tc>
        <w:tc>
          <w:tcPr>
            <w:tcW w:w="1220" w:type="dxa"/>
            <w:vAlign w:val="center"/>
          </w:tcPr>
          <w:p>
            <w:pPr>
              <w:pStyle w:val="13"/>
            </w:pPr>
          </w:p>
        </w:tc>
        <w:tc>
          <w:tcPr>
            <w:tcW w:w="1643" w:type="dxa"/>
            <w:vAlign w:val="center"/>
          </w:tcPr>
          <w:p>
            <w:pPr>
              <w:pStyle w:val="13"/>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30228</w:t>
            </w:r>
          </w:p>
        </w:tc>
        <w:tc>
          <w:tcPr>
            <w:tcW w:w="1643" w:type="dxa"/>
            <w:vAlign w:val="center"/>
          </w:tcPr>
          <w:p>
            <w:pPr>
              <w:pStyle w:val="14"/>
            </w:pPr>
            <w:r>
              <w:t>工会经费</w:t>
            </w:r>
          </w:p>
        </w:tc>
        <w:tc>
          <w:tcPr>
            <w:tcW w:w="2066" w:type="dxa"/>
            <w:vAlign w:val="center"/>
          </w:tcPr>
          <w:p>
            <w:pPr>
              <w:pStyle w:val="13"/>
            </w:pPr>
            <w:r>
              <w:t>11.05</w:t>
            </w:r>
          </w:p>
        </w:tc>
        <w:tc>
          <w:tcPr>
            <w:tcW w:w="1220" w:type="dxa"/>
            <w:vAlign w:val="center"/>
          </w:tcPr>
          <w:p>
            <w:pPr>
              <w:pStyle w:val="13"/>
            </w:pPr>
          </w:p>
        </w:tc>
        <w:tc>
          <w:tcPr>
            <w:tcW w:w="1643" w:type="dxa"/>
            <w:vAlign w:val="center"/>
          </w:tcPr>
          <w:p>
            <w:pPr>
              <w:pStyle w:val="13"/>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30229</w:t>
            </w:r>
          </w:p>
        </w:tc>
        <w:tc>
          <w:tcPr>
            <w:tcW w:w="1643" w:type="dxa"/>
            <w:vAlign w:val="center"/>
          </w:tcPr>
          <w:p>
            <w:pPr>
              <w:pStyle w:val="14"/>
            </w:pPr>
            <w:r>
              <w:t>福利费</w:t>
            </w:r>
          </w:p>
        </w:tc>
        <w:tc>
          <w:tcPr>
            <w:tcW w:w="2066" w:type="dxa"/>
            <w:vAlign w:val="center"/>
          </w:tcPr>
          <w:p>
            <w:pPr>
              <w:pStyle w:val="13"/>
            </w:pPr>
            <w:r>
              <w:t>7.56</w:t>
            </w:r>
          </w:p>
        </w:tc>
        <w:tc>
          <w:tcPr>
            <w:tcW w:w="1220" w:type="dxa"/>
            <w:vAlign w:val="center"/>
          </w:tcPr>
          <w:p>
            <w:pPr>
              <w:pStyle w:val="13"/>
            </w:pPr>
          </w:p>
        </w:tc>
        <w:tc>
          <w:tcPr>
            <w:tcW w:w="1643" w:type="dxa"/>
            <w:vAlign w:val="center"/>
          </w:tcPr>
          <w:p>
            <w:pPr>
              <w:pStyle w:val="13"/>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30231</w:t>
            </w:r>
          </w:p>
        </w:tc>
        <w:tc>
          <w:tcPr>
            <w:tcW w:w="1643" w:type="dxa"/>
            <w:vAlign w:val="center"/>
          </w:tcPr>
          <w:p>
            <w:pPr>
              <w:pStyle w:val="14"/>
            </w:pPr>
            <w:r>
              <w:t>公务用车运行维护费</w:t>
            </w:r>
          </w:p>
        </w:tc>
        <w:tc>
          <w:tcPr>
            <w:tcW w:w="2066" w:type="dxa"/>
            <w:vAlign w:val="center"/>
          </w:tcPr>
          <w:p>
            <w:pPr>
              <w:pStyle w:val="13"/>
            </w:pPr>
            <w:r>
              <w:t>9.50</w:t>
            </w:r>
          </w:p>
        </w:tc>
        <w:tc>
          <w:tcPr>
            <w:tcW w:w="1220" w:type="dxa"/>
            <w:vAlign w:val="center"/>
          </w:tcPr>
          <w:p>
            <w:pPr>
              <w:pStyle w:val="13"/>
            </w:pPr>
          </w:p>
        </w:tc>
        <w:tc>
          <w:tcPr>
            <w:tcW w:w="1643"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30239</w:t>
            </w:r>
          </w:p>
        </w:tc>
        <w:tc>
          <w:tcPr>
            <w:tcW w:w="1643" w:type="dxa"/>
            <w:vAlign w:val="center"/>
          </w:tcPr>
          <w:p>
            <w:pPr>
              <w:pStyle w:val="14"/>
            </w:pPr>
            <w:r>
              <w:t>其他交通费用</w:t>
            </w:r>
          </w:p>
        </w:tc>
        <w:tc>
          <w:tcPr>
            <w:tcW w:w="2066" w:type="dxa"/>
            <w:vAlign w:val="center"/>
          </w:tcPr>
          <w:p>
            <w:pPr>
              <w:pStyle w:val="13"/>
            </w:pPr>
            <w:r>
              <w:t>6.60</w:t>
            </w:r>
          </w:p>
        </w:tc>
        <w:tc>
          <w:tcPr>
            <w:tcW w:w="1220" w:type="dxa"/>
            <w:vAlign w:val="center"/>
          </w:tcPr>
          <w:p>
            <w:pPr>
              <w:pStyle w:val="13"/>
            </w:pPr>
          </w:p>
        </w:tc>
        <w:tc>
          <w:tcPr>
            <w:tcW w:w="1643"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w:t>
            </w:r>
          </w:p>
        </w:tc>
        <w:tc>
          <w:tcPr>
            <w:tcW w:w="1643" w:type="dxa"/>
            <w:vAlign w:val="center"/>
          </w:tcPr>
          <w:p>
            <w:pPr>
              <w:pStyle w:val="14"/>
            </w:pPr>
            <w:r>
              <w:t>对个人和家庭的补助</w:t>
            </w:r>
          </w:p>
        </w:tc>
        <w:tc>
          <w:tcPr>
            <w:tcW w:w="2066" w:type="dxa"/>
            <w:vAlign w:val="center"/>
          </w:tcPr>
          <w:p>
            <w:pPr>
              <w:pStyle w:val="13"/>
            </w:pPr>
            <w:r>
              <w:t>64.19</w:t>
            </w:r>
          </w:p>
        </w:tc>
        <w:tc>
          <w:tcPr>
            <w:tcW w:w="1220" w:type="dxa"/>
            <w:vAlign w:val="center"/>
          </w:tcPr>
          <w:p>
            <w:pPr>
              <w:pStyle w:val="13"/>
            </w:pPr>
            <w:r>
              <w:t>64.19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30302</w:t>
            </w:r>
          </w:p>
        </w:tc>
        <w:tc>
          <w:tcPr>
            <w:tcW w:w="1643" w:type="dxa"/>
            <w:vAlign w:val="center"/>
          </w:tcPr>
          <w:p>
            <w:pPr>
              <w:pStyle w:val="14"/>
            </w:pPr>
            <w:r>
              <w:t>退休费</w:t>
            </w:r>
          </w:p>
        </w:tc>
        <w:tc>
          <w:tcPr>
            <w:tcW w:w="2066" w:type="dxa"/>
            <w:vAlign w:val="center"/>
          </w:tcPr>
          <w:p>
            <w:pPr>
              <w:pStyle w:val="13"/>
            </w:pPr>
            <w:r>
              <w:t>9.79</w:t>
            </w:r>
          </w:p>
        </w:tc>
        <w:tc>
          <w:tcPr>
            <w:tcW w:w="1220" w:type="dxa"/>
            <w:vAlign w:val="center"/>
          </w:tcPr>
          <w:p>
            <w:pPr>
              <w:pStyle w:val="13"/>
            </w:pPr>
            <w:r>
              <w:t>9.79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30307</w:t>
            </w:r>
          </w:p>
        </w:tc>
        <w:tc>
          <w:tcPr>
            <w:tcW w:w="1643" w:type="dxa"/>
            <w:vAlign w:val="center"/>
          </w:tcPr>
          <w:p>
            <w:pPr>
              <w:pStyle w:val="14"/>
            </w:pPr>
            <w:r>
              <w:t>医疗费补助</w:t>
            </w:r>
          </w:p>
        </w:tc>
        <w:tc>
          <w:tcPr>
            <w:tcW w:w="2066" w:type="dxa"/>
            <w:vAlign w:val="center"/>
          </w:tcPr>
          <w:p>
            <w:pPr>
              <w:pStyle w:val="13"/>
            </w:pPr>
            <w:r>
              <w:t>54.20</w:t>
            </w:r>
          </w:p>
        </w:tc>
        <w:tc>
          <w:tcPr>
            <w:tcW w:w="1220" w:type="dxa"/>
            <w:vAlign w:val="center"/>
          </w:tcPr>
          <w:p>
            <w:pPr>
              <w:pStyle w:val="13"/>
            </w:pPr>
            <w:r>
              <w:t>54.20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30309</w:t>
            </w:r>
          </w:p>
        </w:tc>
        <w:tc>
          <w:tcPr>
            <w:tcW w:w="1643" w:type="dxa"/>
            <w:vAlign w:val="center"/>
          </w:tcPr>
          <w:p>
            <w:pPr>
              <w:pStyle w:val="14"/>
            </w:pPr>
            <w:r>
              <w:t>奖励金</w:t>
            </w:r>
          </w:p>
        </w:tc>
        <w:tc>
          <w:tcPr>
            <w:tcW w:w="2066" w:type="dxa"/>
            <w:vAlign w:val="center"/>
          </w:tcPr>
          <w:p>
            <w:pPr>
              <w:pStyle w:val="13"/>
            </w:pPr>
            <w:r>
              <w:t>0.20</w:t>
            </w:r>
          </w:p>
        </w:tc>
        <w:tc>
          <w:tcPr>
            <w:tcW w:w="1220" w:type="dxa"/>
            <w:vAlign w:val="center"/>
          </w:tcPr>
          <w:p>
            <w:pPr>
              <w:pStyle w:val="13"/>
            </w:pPr>
            <w:r>
              <w:t>0.20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6"/>
        <w:gridCol w:w="122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066" w:type="dxa"/>
            <w:tcBorders>
              <w:top w:val="single" w:color="FFFFFF" w:sz="6" w:space="0"/>
              <w:left w:val="single" w:color="FFFFFF" w:sz="6" w:space="0"/>
              <w:right w:val="single" w:color="FFFFFF" w:sz="6" w:space="0"/>
            </w:tcBorders>
            <w:vAlign w:val="center"/>
          </w:tcPr>
          <w:p>
            <w:pPr>
              <w:pStyle w:val="10"/>
            </w:pPr>
            <w:r>
              <w:t>预算年度：2022</w:t>
            </w:r>
          </w:p>
        </w:tc>
        <w:tc>
          <w:tcPr>
            <w:tcW w:w="286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66" w:type="dxa"/>
            <w:vMerge w:val="restart"/>
            <w:vAlign w:val="center"/>
          </w:tcPr>
          <w:p>
            <w:pPr>
              <w:pStyle w:val="12"/>
            </w:pPr>
            <w:r>
              <w:t>合计</w:t>
            </w:r>
          </w:p>
        </w:tc>
        <w:tc>
          <w:tcPr>
            <w:tcW w:w="122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66" w:type="dxa"/>
            <w:vMerge w:val="continue"/>
          </w:tcPr>
          <w:p/>
        </w:tc>
        <w:tc>
          <w:tcPr>
            <w:tcW w:w="122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66" w:type="dxa"/>
            <w:vAlign w:val="center"/>
          </w:tcPr>
          <w:p>
            <w:pPr>
              <w:pStyle w:val="12"/>
            </w:pPr>
            <w:r>
              <w:t>3</w:t>
            </w:r>
          </w:p>
        </w:tc>
        <w:tc>
          <w:tcPr>
            <w:tcW w:w="122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2066" w:type="dxa"/>
            <w:vAlign w:val="center"/>
          </w:tcPr>
          <w:p>
            <w:pPr>
              <w:pStyle w:val="17"/>
            </w:pPr>
            <w:r>
              <w:t>7.00</w:t>
            </w:r>
          </w:p>
        </w:tc>
        <w:tc>
          <w:tcPr>
            <w:tcW w:w="1220" w:type="dxa"/>
            <w:vAlign w:val="center"/>
          </w:tcPr>
          <w:p>
            <w:pPr>
              <w:pStyle w:val="17"/>
            </w:pPr>
          </w:p>
        </w:tc>
        <w:tc>
          <w:tcPr>
            <w:tcW w:w="1643" w:type="dxa"/>
            <w:vAlign w:val="center"/>
          </w:tcPr>
          <w:p>
            <w:pPr>
              <w:pStyle w:val="17"/>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229</w:t>
            </w:r>
          </w:p>
        </w:tc>
        <w:tc>
          <w:tcPr>
            <w:tcW w:w="1643" w:type="dxa"/>
            <w:vAlign w:val="center"/>
          </w:tcPr>
          <w:p>
            <w:pPr>
              <w:pStyle w:val="14"/>
            </w:pPr>
            <w:r>
              <w:t>其他支出</w:t>
            </w:r>
          </w:p>
        </w:tc>
        <w:tc>
          <w:tcPr>
            <w:tcW w:w="2066" w:type="dxa"/>
            <w:vAlign w:val="center"/>
          </w:tcPr>
          <w:p>
            <w:pPr>
              <w:pStyle w:val="13"/>
            </w:pPr>
            <w:r>
              <w:t>7.00</w:t>
            </w:r>
          </w:p>
        </w:tc>
        <w:tc>
          <w:tcPr>
            <w:tcW w:w="1220"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22960</w:t>
            </w:r>
          </w:p>
        </w:tc>
        <w:tc>
          <w:tcPr>
            <w:tcW w:w="1643" w:type="dxa"/>
            <w:vAlign w:val="center"/>
          </w:tcPr>
          <w:p>
            <w:pPr>
              <w:pStyle w:val="14"/>
            </w:pPr>
            <w:r>
              <w:t>彩票公益金安排的支出</w:t>
            </w:r>
          </w:p>
        </w:tc>
        <w:tc>
          <w:tcPr>
            <w:tcW w:w="2066" w:type="dxa"/>
            <w:vAlign w:val="center"/>
          </w:tcPr>
          <w:p>
            <w:pPr>
              <w:pStyle w:val="13"/>
            </w:pPr>
            <w:r>
              <w:t>7.00</w:t>
            </w:r>
          </w:p>
        </w:tc>
        <w:tc>
          <w:tcPr>
            <w:tcW w:w="1220"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2296013</w:t>
            </w:r>
          </w:p>
        </w:tc>
        <w:tc>
          <w:tcPr>
            <w:tcW w:w="1643" w:type="dxa"/>
            <w:vAlign w:val="center"/>
          </w:tcPr>
          <w:p>
            <w:pPr>
              <w:pStyle w:val="14"/>
            </w:pPr>
            <w:r>
              <w:t>用于城乡医疗救助的彩票公益金支出</w:t>
            </w:r>
          </w:p>
        </w:tc>
        <w:tc>
          <w:tcPr>
            <w:tcW w:w="2066" w:type="dxa"/>
            <w:vAlign w:val="center"/>
          </w:tcPr>
          <w:p>
            <w:pPr>
              <w:pStyle w:val="13"/>
            </w:pPr>
            <w:r>
              <w:t>7.00</w:t>
            </w:r>
          </w:p>
        </w:tc>
        <w:tc>
          <w:tcPr>
            <w:tcW w:w="1220" w:type="dxa"/>
            <w:vAlign w:val="center"/>
          </w:tcPr>
          <w:p>
            <w:pPr>
              <w:pStyle w:val="13"/>
            </w:pPr>
          </w:p>
        </w:tc>
        <w:tc>
          <w:tcPr>
            <w:tcW w:w="1643" w:type="dxa"/>
            <w:vAlign w:val="center"/>
          </w:tcPr>
          <w:p>
            <w:pPr>
              <w:pStyle w:val="13"/>
            </w:pPr>
            <w:r>
              <w:t>7.00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33"/>
        <w:gridCol w:w="11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133" w:type="dxa"/>
            <w:tcBorders>
              <w:top w:val="single" w:color="FFFFFF" w:sz="6" w:space="0"/>
              <w:left w:val="single" w:color="FFFFFF" w:sz="6" w:space="0"/>
              <w:right w:val="single" w:color="FFFFFF" w:sz="6" w:space="0"/>
            </w:tcBorders>
            <w:vAlign w:val="center"/>
          </w:tcPr>
          <w:p>
            <w:pPr>
              <w:pStyle w:val="10"/>
            </w:pPr>
            <w:r>
              <w:t>预算年度：2022</w:t>
            </w:r>
          </w:p>
        </w:tc>
        <w:tc>
          <w:tcPr>
            <w:tcW w:w="27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33" w:type="dxa"/>
            <w:vMerge w:val="restart"/>
            <w:vAlign w:val="center"/>
          </w:tcPr>
          <w:p>
            <w:pPr>
              <w:pStyle w:val="12"/>
            </w:pPr>
            <w:r>
              <w:t>合计</w:t>
            </w:r>
          </w:p>
        </w:tc>
        <w:tc>
          <w:tcPr>
            <w:tcW w:w="115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33" w:type="dxa"/>
            <w:vMerge w:val="continue"/>
          </w:tcPr>
          <w:p/>
        </w:tc>
        <w:tc>
          <w:tcPr>
            <w:tcW w:w="115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33" w:type="dxa"/>
            <w:vAlign w:val="center"/>
          </w:tcPr>
          <w:p>
            <w:pPr>
              <w:pStyle w:val="12"/>
            </w:pPr>
            <w:r>
              <w:t>3</w:t>
            </w:r>
          </w:p>
        </w:tc>
        <w:tc>
          <w:tcPr>
            <w:tcW w:w="115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33" w:type="dxa"/>
            <w:vAlign w:val="center"/>
          </w:tcPr>
          <w:p>
            <w:pPr>
              <w:pStyle w:val="13"/>
            </w:pPr>
          </w:p>
        </w:tc>
        <w:tc>
          <w:tcPr>
            <w:tcW w:w="115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33"/>
        <w:gridCol w:w="11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807霸州市医疗保障局</w:t>
            </w:r>
          </w:p>
        </w:tc>
        <w:tc>
          <w:tcPr>
            <w:tcW w:w="2133" w:type="dxa"/>
            <w:tcBorders>
              <w:top w:val="single" w:color="FFFFFF" w:sz="6" w:space="0"/>
              <w:left w:val="single" w:color="FFFFFF" w:sz="6" w:space="0"/>
              <w:right w:val="single" w:color="FFFFFF" w:sz="6" w:space="0"/>
            </w:tcBorders>
            <w:vAlign w:val="center"/>
          </w:tcPr>
          <w:p>
            <w:pPr>
              <w:pStyle w:val="10"/>
            </w:pPr>
            <w:r>
              <w:t>预算年度：2022</w:t>
            </w:r>
          </w:p>
        </w:tc>
        <w:tc>
          <w:tcPr>
            <w:tcW w:w="27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133" w:type="dxa"/>
            <w:vAlign w:val="center"/>
          </w:tcPr>
          <w:p>
            <w:pPr>
              <w:pStyle w:val="12"/>
            </w:pPr>
            <w:r>
              <w:t>一般公共预算              财政拨款</w:t>
            </w:r>
          </w:p>
        </w:tc>
        <w:tc>
          <w:tcPr>
            <w:tcW w:w="115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33" w:type="dxa"/>
            <w:vAlign w:val="center"/>
          </w:tcPr>
          <w:p>
            <w:pPr>
              <w:pStyle w:val="12"/>
            </w:pPr>
            <w:r>
              <w:t>3</w:t>
            </w:r>
          </w:p>
        </w:tc>
        <w:tc>
          <w:tcPr>
            <w:tcW w:w="115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eastAsia" w:eastAsia="方正书宋_GBK"/>
                <w:lang w:val="en-US" w:eastAsia="zh-CN"/>
              </w:rPr>
            </w:pPr>
            <w:r>
              <w:rPr>
                <w:rFonts w:hint="eastAsia"/>
                <w:lang w:val="en-US" w:eastAsia="zh-CN"/>
              </w:rPr>
              <w:t>10.12</w:t>
            </w:r>
          </w:p>
        </w:tc>
        <w:tc>
          <w:tcPr>
            <w:tcW w:w="2133" w:type="dxa"/>
            <w:vAlign w:val="center"/>
          </w:tcPr>
          <w:p>
            <w:pPr>
              <w:pStyle w:val="17"/>
              <w:rPr>
                <w:rFonts w:hint="eastAsia" w:eastAsia="方正书宋_GBK"/>
                <w:lang w:val="en-US" w:eastAsia="zh-CN"/>
              </w:rPr>
            </w:pPr>
            <w:r>
              <w:rPr>
                <w:rFonts w:hint="eastAsia"/>
                <w:lang w:val="en-US" w:eastAsia="zh-CN"/>
              </w:rPr>
              <w:t>10.12</w:t>
            </w:r>
          </w:p>
        </w:tc>
        <w:tc>
          <w:tcPr>
            <w:tcW w:w="115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2</w:t>
            </w:r>
          </w:p>
        </w:tc>
        <w:tc>
          <w:tcPr>
            <w:tcW w:w="1643" w:type="dxa"/>
            <w:vAlign w:val="center"/>
          </w:tcPr>
          <w:p>
            <w:pPr>
              <w:pStyle w:val="14"/>
            </w:pPr>
            <w:r>
              <w:t>一、因公出国（境）费</w:t>
            </w:r>
          </w:p>
        </w:tc>
        <w:tc>
          <w:tcPr>
            <w:tcW w:w="1643" w:type="dxa"/>
            <w:vAlign w:val="center"/>
          </w:tcPr>
          <w:p>
            <w:pPr>
              <w:pStyle w:val="13"/>
            </w:pPr>
          </w:p>
        </w:tc>
        <w:tc>
          <w:tcPr>
            <w:tcW w:w="2133" w:type="dxa"/>
            <w:vAlign w:val="center"/>
          </w:tcPr>
          <w:p>
            <w:pPr>
              <w:pStyle w:val="13"/>
            </w:pPr>
          </w:p>
        </w:tc>
        <w:tc>
          <w:tcPr>
            <w:tcW w:w="115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2133" w:type="dxa"/>
            <w:vAlign w:val="center"/>
          </w:tcPr>
          <w:p>
            <w:pPr>
              <w:pStyle w:val="13"/>
            </w:pPr>
          </w:p>
        </w:tc>
        <w:tc>
          <w:tcPr>
            <w:tcW w:w="115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4</w:t>
            </w:r>
          </w:p>
        </w:tc>
        <w:tc>
          <w:tcPr>
            <w:tcW w:w="1643" w:type="dxa"/>
            <w:vAlign w:val="center"/>
          </w:tcPr>
          <w:p>
            <w:pPr>
              <w:pStyle w:val="14"/>
            </w:pPr>
            <w:r>
              <w:t xml:space="preserve">          其他因公出国（境）费</w:t>
            </w:r>
          </w:p>
        </w:tc>
        <w:tc>
          <w:tcPr>
            <w:tcW w:w="1643" w:type="dxa"/>
            <w:vAlign w:val="center"/>
          </w:tcPr>
          <w:p>
            <w:pPr>
              <w:pStyle w:val="13"/>
            </w:pPr>
          </w:p>
        </w:tc>
        <w:tc>
          <w:tcPr>
            <w:tcW w:w="2133" w:type="dxa"/>
            <w:vAlign w:val="center"/>
          </w:tcPr>
          <w:p>
            <w:pPr>
              <w:pStyle w:val="13"/>
            </w:pPr>
          </w:p>
        </w:tc>
        <w:tc>
          <w:tcPr>
            <w:tcW w:w="115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二、公务用车购置及运维费</w:t>
            </w:r>
          </w:p>
        </w:tc>
        <w:tc>
          <w:tcPr>
            <w:tcW w:w="1643" w:type="dxa"/>
            <w:vAlign w:val="center"/>
          </w:tcPr>
          <w:p>
            <w:pPr>
              <w:pStyle w:val="13"/>
            </w:pPr>
            <w:r>
              <w:t>9.50</w:t>
            </w:r>
          </w:p>
        </w:tc>
        <w:tc>
          <w:tcPr>
            <w:tcW w:w="2133" w:type="dxa"/>
            <w:vAlign w:val="center"/>
          </w:tcPr>
          <w:p>
            <w:pPr>
              <w:pStyle w:val="13"/>
            </w:pPr>
            <w:r>
              <w:t>9.50</w:t>
            </w:r>
          </w:p>
        </w:tc>
        <w:tc>
          <w:tcPr>
            <w:tcW w:w="115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 xml:space="preserve">    其中：公务用车购置费</w:t>
            </w:r>
          </w:p>
        </w:tc>
        <w:tc>
          <w:tcPr>
            <w:tcW w:w="1643" w:type="dxa"/>
            <w:vAlign w:val="center"/>
          </w:tcPr>
          <w:p>
            <w:pPr>
              <w:pStyle w:val="13"/>
            </w:pPr>
          </w:p>
        </w:tc>
        <w:tc>
          <w:tcPr>
            <w:tcW w:w="2133" w:type="dxa"/>
            <w:vAlign w:val="center"/>
          </w:tcPr>
          <w:p>
            <w:pPr>
              <w:pStyle w:val="13"/>
            </w:pPr>
          </w:p>
        </w:tc>
        <w:tc>
          <w:tcPr>
            <w:tcW w:w="115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 xml:space="preserve">          公务用车运行维护费</w:t>
            </w:r>
          </w:p>
        </w:tc>
        <w:tc>
          <w:tcPr>
            <w:tcW w:w="1643" w:type="dxa"/>
            <w:vAlign w:val="center"/>
          </w:tcPr>
          <w:p>
            <w:pPr>
              <w:pStyle w:val="13"/>
            </w:pPr>
            <w:r>
              <w:t>9.50</w:t>
            </w:r>
          </w:p>
        </w:tc>
        <w:tc>
          <w:tcPr>
            <w:tcW w:w="2133" w:type="dxa"/>
            <w:vAlign w:val="center"/>
          </w:tcPr>
          <w:p>
            <w:pPr>
              <w:pStyle w:val="13"/>
            </w:pPr>
            <w:r>
              <w:t>9.50</w:t>
            </w:r>
          </w:p>
        </w:tc>
        <w:tc>
          <w:tcPr>
            <w:tcW w:w="115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三、公务接待费</w:t>
            </w:r>
          </w:p>
        </w:tc>
        <w:tc>
          <w:tcPr>
            <w:tcW w:w="1643" w:type="dxa"/>
            <w:vAlign w:val="center"/>
          </w:tcPr>
          <w:p>
            <w:pPr>
              <w:pStyle w:val="13"/>
            </w:pPr>
            <w:r>
              <w:t>0.62</w:t>
            </w:r>
          </w:p>
        </w:tc>
        <w:tc>
          <w:tcPr>
            <w:tcW w:w="2133" w:type="dxa"/>
            <w:vAlign w:val="center"/>
          </w:tcPr>
          <w:p>
            <w:pPr>
              <w:pStyle w:val="13"/>
            </w:pPr>
            <w:r>
              <w:t>0.62</w:t>
            </w:r>
          </w:p>
        </w:tc>
        <w:tc>
          <w:tcPr>
            <w:tcW w:w="115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霸州市医疗保障局2022年部门预算信息公开情况说明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霸州市医疗保障局2022年部门预算信息公开情况说明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按照《预算法》、《地方预决算公开操作规程》和《关于进一步推进预算公开工作的实施意见》规定，现将霸州市医疗保障局2022年部门预算公开如下：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霸州市医疗保障局职能配置、内设机构和人员编制规定</w:t>
      </w:r>
    </w:p>
    <w:p>
      <w:pPr>
        <w:pStyle w:val="19"/>
      </w:pPr>
      <w:r>
        <w:t>第一条 根据《中共廊坊市委办公室廊坊市人民政府办公室关于印发《霸州市机构改革方案》的通知》 (廊办字［2018] 72号）， 制定本规定。</w:t>
      </w:r>
    </w:p>
    <w:p>
      <w:pPr>
        <w:pStyle w:val="19"/>
      </w:pPr>
      <w:r>
        <w:t>第二条 霸州市医疗保障局（简称市医疗保障局）为市政府工作部门，机构规格正科级。</w:t>
      </w:r>
    </w:p>
    <w:p>
      <w:pPr>
        <w:pStyle w:val="19"/>
      </w:pPr>
      <w:r>
        <w:t>第三条 贯彻落实党中央、省委、廊坊市委、霸州市委关于医疗保障工作的方针政策和决策部署，坚持和加强党对医疗保障工作的集中统一领导。主要职责是：</w:t>
      </w:r>
    </w:p>
    <w:p>
      <w:pPr>
        <w:pStyle w:val="19"/>
      </w:pPr>
      <w:r>
        <w:t>（一）拟订全市城镇职工和城乡居民医疗保险、生育保险、</w:t>
      </w:r>
    </w:p>
    <w:p>
      <w:pPr>
        <w:pStyle w:val="19"/>
      </w:pPr>
      <w:r>
        <w:t>大病保险、医疗救助等医疗保障地方性政策、制度、规划和标准。贯彻落实省离休干部医疗费社会统筹政策并组织实施。</w:t>
      </w:r>
    </w:p>
    <w:p>
      <w:pPr>
        <w:pStyle w:val="19"/>
      </w:pPr>
      <w:r>
        <w:t>（二）贯彻落实省医疗保障基金监督管理办法，建立健全保障基金安全防控机制，组织建设智能监控平台，推进医疗保障基金支付方式改革，并组织实施。</w:t>
      </w:r>
    </w:p>
    <w:p>
      <w:pPr>
        <w:pStyle w:val="19"/>
      </w:pPr>
      <w:r>
        <w:t>（三）组织制定全市城镇职工、城乡居民参保筹资和保障待遇政策，统筹城乡医疗保障政策标准，建立健全与筹资水平相适应的待遇调整机制。贯彻落实省长期护理保险制度方案及政策标准并组织实施。</w:t>
      </w:r>
    </w:p>
    <w:p>
      <w:pPr>
        <w:pStyle w:val="19"/>
      </w:pPr>
      <w:r>
        <w:t>（四）贯彻落实全省城乡统一的药品、医用耗材、医疗服务项目、医疗服务设施等医保目录，组织制定全市城乡统一的药品、医用耗材、医疗服务项目、医疗服务设施的医保支付标准并组织实施，建立动态调整机制。</w:t>
      </w:r>
    </w:p>
    <w:p>
      <w:pPr>
        <w:pStyle w:val="19"/>
      </w:pPr>
      <w:r>
        <w:t>（五）贯彻落实省药品、医用耗材价格和医疗服务项目、医疗服务设施收费等政策。建立医保支付医药服务价格合理确定和动态调整机制，依法管理药品、医用耗材、医疗服务价格监测信息发布制度。</w:t>
      </w:r>
    </w:p>
    <w:p>
      <w:pPr>
        <w:pStyle w:val="19"/>
      </w:pPr>
      <w:r>
        <w:t>（六）贯彻落实省药品、医用耗材的招标采购政策并组织实施，做好监督工作。做好药品、医用耗材招标采购平台建设工作。</w:t>
      </w:r>
    </w:p>
    <w:p>
      <w:pPr>
        <w:pStyle w:val="19"/>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9"/>
      </w:pPr>
      <w:r>
        <w:t>（八）负责医疗保障经办管理、公共服务体系和信息化建设。落实和完善异地就医管理和费用结算政策并组织实施。建立健全医疗保障关系转移接续制度。</w:t>
      </w:r>
    </w:p>
    <w:p>
      <w:pPr>
        <w:pStyle w:val="19"/>
      </w:pPr>
      <w:r>
        <w:t>（九）完成市委、市政府交办的其他任务。</w:t>
      </w:r>
    </w:p>
    <w:p>
      <w:pPr>
        <w:pStyle w:val="19"/>
      </w:pPr>
      <w:r>
        <w:t>第四条 转变职能。市医疗保障局完善城镇职工医保的筹资和待遇动态调整机制。完善统一的城乡居民医疗保险制度和大病保险制度，建立健全覆盖城乡的多层次医疗保障体系，确保医保资金稳定可持续、合理使用、安全可控。推进医疗、医保、医药、医价“四医联动”改革，更好保障人民群众就医需求、减轻医药费用负担。</w:t>
      </w:r>
    </w:p>
    <w:p>
      <w:pPr>
        <w:pStyle w:val="19"/>
      </w:pPr>
      <w:r>
        <w:t>第五条 有关职责分工。市卫生健康委员会、市医疗保障局等部门在医疗、 医保、医药、医价等方面加强制度、政策衔接，建立沟通协商机制，协同推进改革，提高医疗资源使用效率和医疗保障水平。</w:t>
      </w:r>
    </w:p>
    <w:p>
      <w:pPr>
        <w:pStyle w:val="19"/>
      </w:pPr>
      <w:r>
        <w:t>第六条 市医疗保障局设下列内设机构：</w:t>
      </w:r>
    </w:p>
    <w:p>
      <w:pPr>
        <w:pStyle w:val="19"/>
      </w:pPr>
      <w:r>
        <w:t>（一）综合办公室。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单位建设等工作。负责机关和直属单位的党群工作。负责机关纪检工作。负责机关和直属单位的干部人事、机构编制、考核奖励、教育培训及队伍建设等工作。负责机关离退休干部工作。根据省医疗保障基金监督管理政策拟订全市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w:t>
      </w:r>
    </w:p>
    <w:p>
      <w:pPr>
        <w:pStyle w:val="19"/>
      </w:pPr>
      <w:r>
        <w:t>（二）规划财务和法规股。组织拟订全市医疗保障工作规划。负责全市医疗保障综合统计工作。负责编制全市医疗保险、生育保险基金预决算草案和年度基金财务报告。承担机关和直属单位预决算、财务、资产管理、内部审计工作，推进医疗保障信息化建设。组织起草地方性政策，承担规范性文件的合法性审查工作，承担行政复议、行政应诉等法律事务工作。</w:t>
      </w:r>
    </w:p>
    <w:p>
      <w:pPr>
        <w:pStyle w:val="19"/>
      </w:pPr>
      <w:r>
        <w:t>（三）待遇保障股。拟订全市医疗保障筹资和待遇政策，统筹城乡医疗保障待遇标准。统筹推进医疗保险、生育保险、 大病保险、医疗救助等多层次医疗保障体系建设。建立健全医疗保障关系转移接续制度。贯彻落实省长期护理保险制度改革方案并组织实施。</w:t>
      </w:r>
    </w:p>
    <w:p>
      <w:pPr>
        <w:pStyle w:val="19"/>
      </w:pPr>
      <w:r>
        <w:t>（四）医药管理和招标采购股。组织制定全市城乡统一的药品、医用耗材、医疗服务项目、医疗服务设施的医保支付标准，建立动态调整机制。拟订全市定点医药机构医保协议和支付管理办法，落实和完善异地就医管理办法和结算办法。组织推进医保支付方式改革。组织开展药品、医用耗材、医疗技术的经济性评价。贯彻落实省药品、医用耗材、医疗服务价格政策和管理办法。贯彻落实省医疗服务价格项目规范、一次性医用耗材目录。管理和督导落实省制定的公立医疗机构及城市医疗卫生机构医疗服务价格。依法管理药品、医用耗材、医疗服务价格政策法规执行情况。组织实施药品、医用耗材和医疗服务价格监测信息发布工作。</w:t>
      </w:r>
    </w:p>
    <w:p>
      <w:pPr>
        <w:pStyle w:val="19"/>
      </w:pPr>
      <w:r>
        <w:t>贯彻落实药品、医用耗材招标采购、配送及结算管理政策，并做好监督工作。做好招标采购平台建设工作。</w:t>
      </w:r>
    </w:p>
    <w:p>
      <w:pPr>
        <w:pStyle w:val="19"/>
      </w:pPr>
      <w:r>
        <w:t>第七条 市医疗保障局机关编制12名（锁定事业编制3名）。股级领导职数4名。科级领导职数设置另行明确。</w:t>
      </w:r>
    </w:p>
    <w:p>
      <w:pPr>
        <w:pStyle w:val="19"/>
      </w:pPr>
      <w:r>
        <w:t>第八条 市医疗保障局所属事业单位的设置、职责和编制事项另行规定。</w:t>
      </w:r>
    </w:p>
    <w:p>
      <w:pPr>
        <w:pStyle w:val="19"/>
      </w:pPr>
      <w:r>
        <w:t>第九条 本规定具体解释工作由中共霸州市委机构编制委员会办公室承担，其调整由中共霸州市机构编制委员会办公室按规定程序办理。</w:t>
      </w:r>
    </w:p>
    <w:p>
      <w:pPr>
        <w:pStyle w:val="19"/>
      </w:pPr>
      <w:r>
        <w:t>第十条 本规定自2019年1月30日起施行。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霸州市医疗保障局本级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按照预算管理有关规定，目前我省部门预算的编制实行综合预算管理，即全部收入和支出都反映在预算中。霸州市医疗保障局机关及所属事业单位的收支包含在部门预算中。</w:t>
      </w:r>
    </w:p>
    <w:p>
      <w:pPr>
        <w:ind w:firstLine="640"/>
        <w:rPr>
          <w:rFonts w:ascii="Times New Roman" w:hAnsi="Times New Roman" w:eastAsia="方正仿宋_GBK" w:cs="Times New Roman"/>
          <w:sz w:val="28"/>
          <w:szCs w:val="24"/>
          <w:lang w:val="en-US" w:eastAsia="uk-UA" w:bidi="ar-SA"/>
        </w:rPr>
      </w:pPr>
      <w:r>
        <w:rPr>
          <w:rFonts w:hint="eastAsia" w:ascii="仿宋_GB2312" w:hAnsi="Times New Roman" w:eastAsia="仿宋_GB2312" w:cs="Times New Roman"/>
          <w:b/>
          <w:sz w:val="32"/>
          <w:szCs w:val="32"/>
        </w:rPr>
        <w:t xml:space="preserve">  </w:t>
      </w:r>
      <w:r>
        <w:rPr>
          <w:rFonts w:hint="eastAsia" w:ascii="Times New Roman" w:hAnsi="Times New Roman" w:eastAsia="方正仿宋_GBK" w:cs="Times New Roman"/>
          <w:sz w:val="28"/>
          <w:szCs w:val="24"/>
          <w:lang w:val="en-US" w:eastAsia="uk-UA" w:bidi="ar-SA"/>
        </w:rPr>
        <w:t>1、收入说明</w:t>
      </w:r>
    </w:p>
    <w:p>
      <w:pPr>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反映本部门当年全部收入。2022年预算收入</w:t>
      </w:r>
      <w:r>
        <w:rPr>
          <w:rFonts w:hint="eastAsia" w:ascii="Times New Roman" w:hAnsi="Times New Roman" w:eastAsia="方正仿宋_GBK" w:cs="Times New Roman"/>
          <w:sz w:val="28"/>
          <w:szCs w:val="24"/>
          <w:lang w:val="en-US" w:eastAsia="zh-CN" w:bidi="ar-SA"/>
        </w:rPr>
        <w:t>10321.63</w:t>
      </w:r>
      <w:r>
        <w:rPr>
          <w:rFonts w:hint="eastAsia"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10314.63</w:t>
      </w:r>
      <w:r>
        <w:rPr>
          <w:rFonts w:hint="eastAsia" w:ascii="Times New Roman" w:hAnsi="Times New Roman" w:eastAsia="方正仿宋_GBK" w:cs="Times New Roman"/>
          <w:sz w:val="28"/>
          <w:szCs w:val="24"/>
          <w:lang w:val="en-US" w:eastAsia="uk-UA" w:bidi="ar-SA"/>
        </w:rPr>
        <w:t>万元，政府性基金预算收入</w:t>
      </w: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万元，国有资本经营预算收入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万元，财政专户管理资金收入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万元，上级补助收入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万元，事业收入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万元，经营收入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万元，附属单位上缴收入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万元，其他收入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万元，上年结转</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ind w:firstLine="64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收支预算总表支出栏、基本支出表、项目支出表按经济分类和支出功能分类科目编制，反映霸州市</w:t>
      </w:r>
      <w:r>
        <w:rPr>
          <w:rFonts w:hint="eastAsia" w:ascii="Times New Roman" w:hAnsi="Times New Roman" w:eastAsia="方正仿宋_GBK" w:cs="Times New Roman"/>
          <w:sz w:val="28"/>
          <w:szCs w:val="24"/>
          <w:lang w:val="en-US" w:eastAsia="zh-CN" w:bidi="ar-SA"/>
        </w:rPr>
        <w:t>医疗保障局</w:t>
      </w:r>
      <w:r>
        <w:rPr>
          <w:rFonts w:hint="eastAsia" w:ascii="Times New Roman" w:hAnsi="Times New Roman" w:eastAsia="方正仿宋_GBK" w:cs="Times New Roman"/>
          <w:sz w:val="28"/>
          <w:szCs w:val="24"/>
          <w:lang w:val="en-US" w:eastAsia="uk-UA" w:bidi="ar-SA"/>
        </w:rPr>
        <w:t>2022年度部门预算中支出预算的总体情况。2022年支出预算</w:t>
      </w:r>
      <w:r>
        <w:rPr>
          <w:rFonts w:hint="eastAsia" w:ascii="Times New Roman" w:hAnsi="Times New Roman" w:eastAsia="方正仿宋_GBK" w:cs="Times New Roman"/>
          <w:sz w:val="28"/>
          <w:szCs w:val="24"/>
          <w:lang w:val="en-US" w:eastAsia="zh-CN" w:bidi="ar-SA"/>
        </w:rPr>
        <w:t>10321.63</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1252.41</w:t>
      </w:r>
      <w:r>
        <w:rPr>
          <w:rFonts w:hint="eastAsia" w:ascii="Times New Roman" w:hAnsi="Times New Roman" w:eastAsia="方正仿宋_GBK" w:cs="Times New Roman"/>
          <w:sz w:val="28"/>
          <w:szCs w:val="24"/>
          <w:lang w:val="en-US" w:eastAsia="uk-UA" w:bidi="ar-SA"/>
        </w:rPr>
        <w:t>万元，包括：人员经费</w:t>
      </w:r>
      <w:r>
        <w:rPr>
          <w:rFonts w:hint="eastAsia" w:ascii="Times New Roman" w:hAnsi="Times New Roman" w:eastAsia="方正仿宋_GBK" w:cs="Times New Roman"/>
          <w:sz w:val="28"/>
          <w:szCs w:val="24"/>
          <w:lang w:val="en-US" w:eastAsia="zh-CN" w:bidi="ar-SA"/>
        </w:rPr>
        <w:t>1120.00</w:t>
      </w:r>
      <w:r>
        <w:rPr>
          <w:rFonts w:hint="eastAsia" w:ascii="Times New Roman" w:hAnsi="Times New Roman" w:eastAsia="方正仿宋_GBK" w:cs="Times New Roman"/>
          <w:sz w:val="28"/>
          <w:szCs w:val="24"/>
          <w:lang w:val="en-US" w:eastAsia="uk-UA" w:bidi="ar-SA"/>
        </w:rPr>
        <w:t>万元和日常公用经费</w:t>
      </w:r>
      <w:r>
        <w:rPr>
          <w:rFonts w:hint="eastAsia" w:ascii="Times New Roman" w:hAnsi="Times New Roman" w:eastAsia="方正仿宋_GBK" w:cs="Times New Roman"/>
          <w:sz w:val="28"/>
          <w:szCs w:val="24"/>
          <w:lang w:val="en-US" w:eastAsia="zh-CN" w:bidi="ar-SA"/>
        </w:rPr>
        <w:t>132.41</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9069.22</w:t>
      </w:r>
      <w:r>
        <w:rPr>
          <w:rFonts w:hint="eastAsia" w:ascii="Times New Roman" w:hAnsi="Times New Roman" w:eastAsia="方正仿宋_GBK" w:cs="Times New Roman"/>
          <w:sz w:val="28"/>
          <w:szCs w:val="24"/>
          <w:lang w:val="en-US" w:eastAsia="uk-UA" w:bidi="ar-SA"/>
        </w:rPr>
        <w:t>万元，主要为城乡居民医疗保险县级补助资金</w:t>
      </w: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各级医疗救助补助资金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基金监督检查经费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新冠疫苗及接种费用县级财政补助资金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办公场所改造资金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档案整理及法律服务费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基金监管法律宣传活动经费</w:t>
      </w:r>
      <w:r>
        <w:rPr>
          <w:rFonts w:hint="eastAsia" w:eastAsia="方正仿宋_GBK" w:cs="Times New Roman"/>
          <w:sz w:val="28"/>
          <w:szCs w:val="24"/>
          <w:lang w:val="en-US" w:eastAsia="zh-CN" w:bidi="ar-SA"/>
        </w:rPr>
        <w:t>、中央财政医疗服务与保障能力提升补助资金</w:t>
      </w:r>
      <w:r>
        <w:rPr>
          <w:rFonts w:hint="eastAsia" w:ascii="Times New Roman" w:hAnsi="Times New Roman" w:eastAsia="方正仿宋_GBK" w:cs="Times New Roman"/>
          <w:sz w:val="28"/>
          <w:szCs w:val="24"/>
          <w:lang w:val="en-US" w:eastAsia="uk-UA" w:bidi="ar-SA"/>
        </w:rPr>
        <w:t>等。</w:t>
      </w:r>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pPr>
        <w:ind w:firstLine="560" w:firstLineChars="200"/>
      </w:pPr>
      <w:r>
        <w:rPr>
          <w:rFonts w:hint="eastAsia" w:ascii="Times New Roman" w:hAnsi="Times New Roman" w:eastAsia="方正仿宋_GBK" w:cs="Times New Roman"/>
          <w:sz w:val="28"/>
          <w:szCs w:val="24"/>
          <w:lang w:val="en-US" w:eastAsia="uk-UA" w:bidi="ar-SA"/>
        </w:rPr>
        <w:t>2022年预算收支安排</w:t>
      </w:r>
      <w:r>
        <w:rPr>
          <w:rFonts w:hint="eastAsia" w:ascii="Times New Roman" w:hAnsi="Times New Roman" w:eastAsia="方正仿宋_GBK" w:cs="Times New Roman"/>
          <w:sz w:val="28"/>
          <w:szCs w:val="24"/>
          <w:lang w:val="en-US" w:eastAsia="zh-CN" w:bidi="ar-SA"/>
        </w:rPr>
        <w:t>10321.63</w:t>
      </w:r>
      <w:r>
        <w:rPr>
          <w:rFonts w:hint="eastAsia" w:ascii="Times New Roman" w:hAnsi="Times New Roman" w:eastAsia="方正仿宋_GBK" w:cs="Times New Roman"/>
          <w:sz w:val="28"/>
          <w:szCs w:val="24"/>
          <w:lang w:val="en-US" w:eastAsia="uk-UA" w:bidi="ar-SA"/>
        </w:rPr>
        <w:t>万元，较2021预算增加</w:t>
      </w:r>
      <w:r>
        <w:rPr>
          <w:rFonts w:hint="eastAsia" w:ascii="Times New Roman" w:hAnsi="Times New Roman" w:eastAsia="方正仿宋_GBK" w:cs="Times New Roman"/>
          <w:sz w:val="28"/>
          <w:szCs w:val="24"/>
          <w:lang w:val="en-US" w:eastAsia="zh-CN" w:bidi="ar-SA"/>
        </w:rPr>
        <w:t>1310.31</w:t>
      </w:r>
      <w:r>
        <w:rPr>
          <w:rFonts w:hint="eastAsia" w:ascii="Times New Roman" w:hAnsi="Times New Roman" w:eastAsia="方正仿宋_GBK" w:cs="Times New Roman"/>
          <w:sz w:val="28"/>
          <w:szCs w:val="24"/>
          <w:lang w:val="en-US" w:eastAsia="uk-UA" w:bidi="ar-SA"/>
        </w:rPr>
        <w:t>万元，其中：基本支出减少</w:t>
      </w:r>
      <w:r>
        <w:rPr>
          <w:rFonts w:hint="eastAsia" w:ascii="Times New Roman" w:hAnsi="Times New Roman" w:eastAsia="方正仿宋_GBK" w:cs="Times New Roman"/>
          <w:sz w:val="28"/>
          <w:szCs w:val="24"/>
          <w:lang w:val="en-US" w:eastAsia="zh-CN" w:bidi="ar-SA"/>
        </w:rPr>
        <w:t>19.91</w:t>
      </w:r>
      <w:r>
        <w:rPr>
          <w:rFonts w:hint="eastAsia" w:ascii="Times New Roman" w:hAnsi="Times New Roman" w:eastAsia="方正仿宋_GBK" w:cs="Times New Roman"/>
          <w:sz w:val="28"/>
          <w:szCs w:val="24"/>
          <w:lang w:val="en-US" w:eastAsia="uk-UA" w:bidi="ar-SA"/>
        </w:rPr>
        <w:t>万元，主要为减少</w:t>
      </w:r>
      <w:r>
        <w:rPr>
          <w:rFonts w:hint="eastAsia" w:ascii="Times New Roman" w:hAnsi="Times New Roman" w:eastAsia="方正仿宋_GBK" w:cs="Times New Roman"/>
          <w:sz w:val="28"/>
          <w:szCs w:val="24"/>
          <w:lang w:val="en-US" w:eastAsia="zh-CN" w:bidi="ar-SA"/>
        </w:rPr>
        <w:t>日常公用经费</w:t>
      </w:r>
      <w:r>
        <w:rPr>
          <w:rFonts w:hint="eastAsia" w:ascii="Times New Roman" w:hAnsi="Times New Roman" w:eastAsia="方正仿宋_GBK" w:cs="Times New Roman"/>
          <w:sz w:val="28"/>
          <w:szCs w:val="24"/>
          <w:lang w:val="en-US" w:eastAsia="uk-UA" w:bidi="ar-SA"/>
        </w:rPr>
        <w:t>支出；项目支出增加</w:t>
      </w:r>
      <w:r>
        <w:rPr>
          <w:rFonts w:hint="eastAsia" w:ascii="Times New Roman" w:hAnsi="Times New Roman" w:eastAsia="方正仿宋_GBK" w:cs="Times New Roman"/>
          <w:sz w:val="28"/>
          <w:szCs w:val="24"/>
          <w:lang w:val="en-US" w:eastAsia="zh-CN" w:bidi="ar-SA"/>
        </w:rPr>
        <w:t>1330.22</w:t>
      </w:r>
      <w:r>
        <w:rPr>
          <w:rFonts w:hint="eastAsia" w:ascii="Times New Roman" w:hAnsi="Times New Roman" w:eastAsia="方正仿宋_GBK" w:cs="Times New Roman"/>
          <w:sz w:val="28"/>
          <w:szCs w:val="24"/>
          <w:lang w:val="en-US" w:eastAsia="uk-UA" w:bidi="ar-SA"/>
        </w:rPr>
        <w:t>万元，主要为增加</w:t>
      </w:r>
      <w:r>
        <w:rPr>
          <w:rFonts w:hint="eastAsia" w:ascii="Times New Roman" w:hAnsi="Times New Roman" w:eastAsia="方正仿宋_GBK" w:cs="Times New Roman"/>
          <w:sz w:val="28"/>
          <w:szCs w:val="24"/>
          <w:lang w:val="en-US" w:eastAsia="zh-CN" w:bidi="ar-SA"/>
        </w:rPr>
        <w:t>新冠疫苗及接种费用县级财政补助资金、医疗救助补助资金、</w:t>
      </w:r>
      <w:r>
        <w:rPr>
          <w:rFonts w:hint="eastAsia" w:ascii="Times New Roman" w:hAnsi="Times New Roman" w:eastAsia="方正仿宋_GBK" w:cs="Times New Roman"/>
          <w:sz w:val="28"/>
          <w:szCs w:val="24"/>
          <w:lang w:val="en-US" w:eastAsia="uk-UA" w:bidi="ar-SA"/>
        </w:rPr>
        <w:t>中央财政医疗服务与保障能力提升补助资金项目支出。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2022年，我部门</w:t>
      </w:r>
      <w:r>
        <w:rPr>
          <w:rFonts w:hint="eastAsia" w:ascii="Times New Roman" w:hAnsi="Times New Roman" w:eastAsia="方正仿宋_GBK" w:cs="Times New Roman"/>
          <w:sz w:val="28"/>
          <w:szCs w:val="24"/>
          <w:lang w:val="en-US" w:eastAsia="uk-UA" w:bidi="ar-SA"/>
        </w:rPr>
        <w:t>运行经费共计安排</w:t>
      </w:r>
      <w:r>
        <w:rPr>
          <w:rFonts w:hint="eastAsia" w:ascii="Times New Roman" w:hAnsi="Times New Roman" w:eastAsia="方正仿宋_GBK" w:cs="Times New Roman"/>
          <w:sz w:val="28"/>
          <w:szCs w:val="24"/>
          <w:lang w:val="en-US" w:eastAsia="zh-CN" w:bidi="ar-SA"/>
        </w:rPr>
        <w:t>132.41</w:t>
      </w:r>
      <w:r>
        <w:rPr>
          <w:rFonts w:hint="eastAsia" w:ascii="Times New Roman" w:hAnsi="Times New Roman" w:eastAsia="方正仿宋_GBK" w:cs="Times New Roman"/>
          <w:sz w:val="28"/>
          <w:szCs w:val="24"/>
          <w:lang w:val="en-US" w:eastAsia="uk-UA" w:bidi="ar-SA"/>
        </w:rPr>
        <w:t>万元，主要用于办公区的日常维修、办公用房水电费、办公用房取暖费、办公及印刷费，邮电费、差旅费、会议费、福利费、</w:t>
      </w:r>
      <w:r>
        <w:rPr>
          <w:rFonts w:hint="eastAsia" w:ascii="Times New Roman" w:hAnsi="Times New Roman" w:eastAsia="方正仿宋_GBK" w:cs="Times New Roman"/>
          <w:sz w:val="28"/>
          <w:szCs w:val="24"/>
          <w:lang w:val="en-US" w:eastAsia="zh-CN" w:bidi="ar-SA"/>
        </w:rPr>
        <w:t>公务接待费、工会经费、</w:t>
      </w:r>
      <w:r>
        <w:rPr>
          <w:rFonts w:hint="eastAsia" w:ascii="Times New Roman" w:hAnsi="Times New Roman" w:eastAsia="方正仿宋_GBK" w:cs="Times New Roman"/>
          <w:sz w:val="28"/>
          <w:szCs w:val="24"/>
          <w:lang w:val="en-US" w:eastAsia="uk-UA" w:bidi="ar-SA"/>
        </w:rPr>
        <w:t>公务用车运行维护费等日常运行支出。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我部门“三公”经费预算安排10.12万元，其中：因公出国（境）费0万元；公务用车购置及运维费9.5万元（其中：公务用车购置费0万元，公务用车运行维护费9.5万元)；公务接待费0.62万元，较2021年“三公”经费减少0.53万元，主要是因为因公出国（境）费与2020年持平，无增减变化；公务用车运行维护费</w:t>
      </w:r>
      <w:r>
        <w:rPr>
          <w:rFonts w:hint="eastAsia" w:eastAsia="方正仿宋_GBK" w:cs="Times New Roman"/>
          <w:sz w:val="28"/>
          <w:szCs w:val="24"/>
          <w:lang w:val="en-US" w:eastAsia="zh-CN" w:bidi="ar-SA"/>
        </w:rPr>
        <w:t>比</w:t>
      </w:r>
      <w:r>
        <w:rPr>
          <w:rFonts w:hint="eastAsia" w:ascii="Times New Roman" w:hAnsi="Times New Roman" w:eastAsia="方正仿宋_GBK" w:cs="Times New Roman"/>
          <w:sz w:val="28"/>
          <w:szCs w:val="24"/>
          <w:lang w:val="en-US" w:eastAsia="zh-CN" w:bidi="ar-SA"/>
        </w:rPr>
        <w:t>2021年减少0.50万元</w:t>
      </w:r>
      <w:r>
        <w:rPr>
          <w:rFonts w:hint="eastAsia" w:eastAsia="方正仿宋_GBK" w:cs="Times New Roman"/>
          <w:sz w:val="28"/>
          <w:szCs w:val="24"/>
          <w:lang w:val="en-US" w:eastAsia="zh-CN" w:bidi="ar-SA"/>
        </w:rPr>
        <w:t>，主要是为了落实过紧日子要求</w:t>
      </w:r>
      <w:r>
        <w:rPr>
          <w:rFonts w:hint="eastAsia" w:ascii="Times New Roman" w:hAnsi="Times New Roman" w:eastAsia="方正仿宋_GBK" w:cs="Times New Roman"/>
          <w:sz w:val="28"/>
          <w:szCs w:val="24"/>
          <w:lang w:val="en-US" w:eastAsia="zh-CN" w:bidi="ar-SA"/>
        </w:rPr>
        <w:t>；公务接待费减少0.03万元</w:t>
      </w:r>
      <w:r>
        <w:rPr>
          <w:rFonts w:hint="eastAsia" w:eastAsia="方正仿宋_GBK" w:cs="Times New Roman"/>
          <w:sz w:val="28"/>
          <w:szCs w:val="24"/>
          <w:lang w:val="en-US" w:eastAsia="zh-CN" w:bidi="ar-SA"/>
        </w:rPr>
        <w:t>，主要是为了落实过紧日子要求</w:t>
      </w:r>
      <w:r>
        <w:rPr>
          <w:rFonts w:hint="eastAsia" w:ascii="Times New Roman" w:hAnsi="Times New Roman" w:eastAsia="方正仿宋_GBK" w:cs="Times New Roman"/>
          <w:sz w:val="28"/>
          <w:szCs w:val="24"/>
          <w:lang w:val="en-US" w:eastAsia="zh-CN" w:bidi="ar-SA"/>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根据“三定方案”及我部门2022年度工作部署、年度计划对医疗保障进一步提高保障水平和覆盖面，加强内部基金监管，加大打击欺诈骗保的力度，维护医保基金安全，改进医疗保障管理服务，巩固完善异地就医直接结算和医保关系转移接续工作；全面精准落实医疗救助和医保扶贫政策；加强医药管理和药品带量采购，降低群众就医费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（一）医保基金监督管理</w:t>
      </w:r>
    </w:p>
    <w:p>
      <w:pPr>
        <w:pStyle w:val="24"/>
      </w:pPr>
      <w:r>
        <w:t>绩效目标：通过对定点医药机构监督检查及内部基金监管，维护医保基金安全。</w:t>
      </w:r>
    </w:p>
    <w:p>
      <w:pPr>
        <w:pStyle w:val="24"/>
      </w:pPr>
      <w:r>
        <w:t>绩效指标：监督检查覆盖率即基金监管覆盖范围与应覆盖范围之间的比率达到100%。</w:t>
      </w:r>
    </w:p>
    <w:p>
      <w:pPr>
        <w:pStyle w:val="24"/>
      </w:pPr>
      <w:r>
        <w:t>（二）城乡医疗保险工作</w:t>
      </w:r>
    </w:p>
    <w:p>
      <w:pPr>
        <w:pStyle w:val="24"/>
      </w:pPr>
      <w:r>
        <w:t>绩效目标：通过医疗保障管理及医药管理，确保城乡医疗保险参保人数及医疗保障水平。</w:t>
      </w:r>
    </w:p>
    <w:p>
      <w:pPr>
        <w:pStyle w:val="24"/>
      </w:pPr>
      <w:r>
        <w:t>绩效指标：2022年参保人数超过2021年参保人数544929人，城乡医保政策范围内住院费用报销比例达到60%，政策知晓率达到85%以上。</w:t>
      </w:r>
    </w:p>
    <w:p>
      <w:pPr>
        <w:pStyle w:val="24"/>
      </w:pPr>
      <w:r>
        <w:t>（三）城乡医疗救助工作</w:t>
      </w:r>
    </w:p>
    <w:p>
      <w:pPr>
        <w:pStyle w:val="24"/>
      </w:pPr>
      <w:r>
        <w:t>绩效目标：通过城乡医疗救助对重点救助对象资助及报销达到文件规定标准。</w:t>
      </w:r>
    </w:p>
    <w:p>
      <w:pPr>
        <w:pStyle w:val="24"/>
      </w:pPr>
      <w:r>
        <w:t>绩效指标：参保资助率为100%，重点救助对象自付费用年度限额内住院救助比例达到70%以上。</w:t>
      </w:r>
    </w:p>
    <w:p>
      <w:pPr>
        <w:pStyle w:val="24"/>
      </w:pPr>
      <w:r>
        <w:t>（四）医疗保障经办管理工作</w:t>
      </w:r>
    </w:p>
    <w:p>
      <w:pPr>
        <w:pStyle w:val="24"/>
      </w:pPr>
      <w:r>
        <w:t>绩效目标：提高医疗保障经办管理水平，确保医疗保障待遇落到实处。</w:t>
      </w:r>
    </w:p>
    <w:p>
      <w:pPr>
        <w:pStyle w:val="24"/>
      </w:pPr>
      <w:r>
        <w:t>绩效指标：医疗保障关系转移接续完成率95%以上，参保人员满意度为100%，异地就医及时结算比率95%以上。</w:t>
      </w:r>
    </w:p>
    <w:p>
      <w:pPr>
        <w:pStyle w:val="24"/>
      </w:pPr>
      <w:r>
        <w:t>（五）综合事务管理工作</w:t>
      </w:r>
    </w:p>
    <w:p>
      <w:pPr>
        <w:pStyle w:val="24"/>
      </w:pPr>
      <w:r>
        <w:t>绩效目标：提高机关综合事务管理能力，确保各项工作顺利开展，机关运行正常。</w:t>
      </w:r>
    </w:p>
    <w:p>
      <w:pPr>
        <w:pStyle w:val="24"/>
      </w:pPr>
      <w:r>
        <w:t>绩效指标：综合事务管理工作完成率为100%。</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1.加强组织领导</w:t>
      </w:r>
    </w:p>
    <w:p>
      <w:pPr>
        <w:pStyle w:val="25"/>
      </w:pPr>
      <w:r>
        <w:t>高度重视绩效目标规划的实施，把重要指标的完成情况纳入年度考核体系，作为考核各股室目标任务完成情况的重要依据。坚持从实际出发，按照制定的具体目标，逐条逐项分解制度，加强督促检查，确保各项发展目标落到实处。</w:t>
      </w:r>
    </w:p>
    <w:p>
      <w:pPr>
        <w:pStyle w:val="25"/>
      </w:pPr>
      <w:r>
        <w:t>2.完善制度建设。</w:t>
      </w:r>
    </w:p>
    <w:p>
      <w:pPr>
        <w:pStyle w:val="25"/>
      </w:pPr>
      <w:r>
        <w:t>包括制定完善预算绩效管理制度、资金管理办法、工作保障制度等，为全年预算绩效目标的实现奠定制度基础。</w:t>
      </w:r>
    </w:p>
    <w:p>
      <w:pPr>
        <w:pStyle w:val="25"/>
      </w:pPr>
      <w:r>
        <w:t>3.加强支出管理。</w:t>
      </w:r>
    </w:p>
    <w:p>
      <w:pPr>
        <w:pStyle w:val="25"/>
      </w:pPr>
      <w:r>
        <w:t>通过优化支出结构、编细编实预算、加快履行政府采购手续、尽快启动项目、及时支付资金、6 月底前细化代编预算、按规定及时下达资金等多种措施，确保支出进度达标。</w:t>
      </w:r>
    </w:p>
    <w:p>
      <w:pPr>
        <w:pStyle w:val="25"/>
      </w:pPr>
      <w:r>
        <w:t>4.加强绩效运行监控。</w:t>
      </w:r>
    </w:p>
    <w:p>
      <w:pPr>
        <w:pStyle w:val="25"/>
      </w:pPr>
      <w:r>
        <w:t>按要求开展绩效运行监控，发现问题及时采取措施，确保绩效目标如期保质实现。</w:t>
      </w:r>
    </w:p>
    <w:p>
      <w:pPr>
        <w:pStyle w:val="25"/>
      </w:pPr>
      <w:r>
        <w:t>5.做好绩效自评。</w:t>
      </w:r>
    </w:p>
    <w:p>
      <w:pPr>
        <w:pStyle w:val="25"/>
      </w:pPr>
      <w:r>
        <w:t>按要求开展上年度部门预算绩效自评和重点评价工作，对评价中发现的问题及时整改，调整优化支出结构，提高财政资金使用效益。</w:t>
      </w:r>
    </w:p>
    <w:p>
      <w:pPr>
        <w:pStyle w:val="25"/>
      </w:pPr>
      <w:r>
        <w:t>6.规范财务资产管理。</w:t>
      </w:r>
    </w:p>
    <w:p>
      <w:pPr>
        <w:pStyle w:val="25"/>
      </w:pPr>
      <w:r>
        <w:t>完善财务管理制度，严格审批程序，加强固定资产登记、使用和报废处置管理，做到支出合理，物尽其用。</w:t>
      </w:r>
    </w:p>
    <w:p>
      <w:pPr>
        <w:pStyle w:val="25"/>
      </w:pPr>
      <w:r>
        <w:t>7.加强内部监督。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8.加强宣传培训调研等。</w:t>
      </w:r>
    </w:p>
    <w:p>
      <w:pPr>
        <w:pStyle w:val="25"/>
      </w:pPr>
      <w:r>
        <w:t>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1、办公场所改造资金绩效目标表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1.保障医保局工作人员顺利入驻和工作正常开展。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工程量完成率（%）</w:t>
            </w:r>
          </w:p>
        </w:tc>
        <w:tc>
          <w:tcPr>
            <w:tcW w:w="2466" w:type="dxa"/>
            <w:vAlign w:val="center"/>
          </w:tcPr>
          <w:p>
            <w:pPr>
              <w:pStyle w:val="14"/>
            </w:pPr>
            <w:r>
              <w:t>实际完成工程量占计划完成工程量的比率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通过验收的工程量占修缮总量的比率</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选用的材料符合国家标准规范要求</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工程完工日期</w:t>
            </w:r>
          </w:p>
        </w:tc>
        <w:tc>
          <w:tcPr>
            <w:tcW w:w="2466" w:type="dxa"/>
            <w:vAlign w:val="center"/>
          </w:tcPr>
          <w:p>
            <w:pPr>
              <w:pStyle w:val="14"/>
            </w:pPr>
            <w:r>
              <w:t>按期完工并验收合格日期</w:t>
            </w:r>
          </w:p>
        </w:tc>
        <w:tc>
          <w:tcPr>
            <w:tcW w:w="2466" w:type="dxa"/>
            <w:vAlign w:val="center"/>
          </w:tcPr>
          <w:p>
            <w:pPr>
              <w:pStyle w:val="14"/>
            </w:pPr>
            <w:r>
              <w:t>≤3月份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工程单位建设成本</w:t>
            </w:r>
          </w:p>
        </w:tc>
        <w:tc>
          <w:tcPr>
            <w:tcW w:w="2466" w:type="dxa"/>
            <w:vAlign w:val="center"/>
          </w:tcPr>
          <w:p>
            <w:pPr>
              <w:pStyle w:val="14"/>
            </w:pPr>
            <w:r>
              <w:t>修缮成本</w:t>
            </w:r>
          </w:p>
        </w:tc>
        <w:tc>
          <w:tcPr>
            <w:tcW w:w="2466" w:type="dxa"/>
            <w:vAlign w:val="center"/>
          </w:tcPr>
          <w:p>
            <w:pPr>
              <w:pStyle w:val="14"/>
            </w:pPr>
            <w:r>
              <w:t>≤22万元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隐患消除情况</w:t>
            </w:r>
          </w:p>
        </w:tc>
        <w:tc>
          <w:tcPr>
            <w:tcW w:w="2466" w:type="dxa"/>
            <w:vAlign w:val="center"/>
          </w:tcPr>
          <w:p>
            <w:pPr>
              <w:pStyle w:val="14"/>
            </w:pPr>
            <w:r>
              <w:t>通过修缮改造，消除不便隐患的项数</w:t>
            </w:r>
          </w:p>
        </w:tc>
        <w:tc>
          <w:tcPr>
            <w:tcW w:w="2466" w:type="dxa"/>
            <w:vAlign w:val="center"/>
          </w:tcPr>
          <w:p>
            <w:pPr>
              <w:pStyle w:val="14"/>
            </w:pPr>
            <w:r>
              <w:t>≥3项</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调查工作人员满意度人数占调查总人数的比率。</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2、档案整理及法律服务费绩效目标表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1.由于医保参保问题尤其是外伤问题经常有纠纷发生，需法律服务费。</w:t>
            </w:r>
          </w:p>
          <w:p>
            <w:pPr>
              <w:pStyle w:val="14"/>
            </w:pPr>
            <w:r>
              <w:t>2.由于参保人员的住院病历文书档案较多，为了安全有效的保管档案，便于后期审核检查，需请第三方对所有档案进行整理、归档、装盒、打印检索目录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档案归档率</w:t>
            </w:r>
          </w:p>
        </w:tc>
        <w:tc>
          <w:tcPr>
            <w:tcW w:w="2466" w:type="dxa"/>
            <w:vAlign w:val="center"/>
          </w:tcPr>
          <w:p>
            <w:pPr>
              <w:pStyle w:val="14"/>
            </w:pPr>
            <w:r>
              <w:t>对所有参保居民住院档案进行归档</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档案归档质量</w:t>
            </w:r>
          </w:p>
        </w:tc>
        <w:tc>
          <w:tcPr>
            <w:tcW w:w="2466" w:type="dxa"/>
            <w:vAlign w:val="center"/>
          </w:tcPr>
          <w:p>
            <w:pPr>
              <w:pStyle w:val="14"/>
            </w:pPr>
            <w:r>
              <w:t>确保档案归档后查找方便快捷</w:t>
            </w:r>
          </w:p>
        </w:tc>
        <w:tc>
          <w:tcPr>
            <w:tcW w:w="2466" w:type="dxa"/>
            <w:vAlign w:val="center"/>
          </w:tcPr>
          <w:p>
            <w:pPr>
              <w:pStyle w:val="14"/>
            </w:pPr>
            <w:r>
              <w:t>档案归档保质保量</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法律纠纷的处理率</w:t>
            </w:r>
          </w:p>
        </w:tc>
        <w:tc>
          <w:tcPr>
            <w:tcW w:w="2466" w:type="dxa"/>
            <w:vAlign w:val="center"/>
          </w:tcPr>
          <w:p>
            <w:pPr>
              <w:pStyle w:val="14"/>
            </w:pPr>
            <w:r>
              <w:t>法律纠纷的处理率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项目完成时间定于11月底</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所需资金控制在预算数内</w:t>
            </w:r>
          </w:p>
        </w:tc>
        <w:tc>
          <w:tcPr>
            <w:tcW w:w="2466" w:type="dxa"/>
            <w:vAlign w:val="center"/>
          </w:tcPr>
          <w:p>
            <w:pPr>
              <w:pStyle w:val="14"/>
            </w:pPr>
            <w:r>
              <w:t>≤18万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档案整理归集后保存更安全长久、持续时间更长</w:t>
            </w:r>
          </w:p>
        </w:tc>
        <w:tc>
          <w:tcPr>
            <w:tcW w:w="2466" w:type="dxa"/>
            <w:vAlign w:val="center"/>
          </w:tcPr>
          <w:p>
            <w:pPr>
              <w:pStyle w:val="14"/>
            </w:pPr>
            <w:r>
              <w:t>档案整理归集后保存更安全长久、持续时间更长</w:t>
            </w:r>
          </w:p>
        </w:tc>
        <w:tc>
          <w:tcPr>
            <w:tcW w:w="2466" w:type="dxa"/>
            <w:vAlign w:val="center"/>
          </w:tcPr>
          <w:p>
            <w:pPr>
              <w:pStyle w:val="14"/>
            </w:pPr>
            <w:r>
              <w:t>尽可能长时间的安全保存档案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对服务对象进行调查问卷</w:t>
            </w:r>
          </w:p>
        </w:tc>
        <w:tc>
          <w:tcPr>
            <w:tcW w:w="2466" w:type="dxa"/>
            <w:vAlign w:val="center"/>
          </w:tcPr>
          <w:p>
            <w:pPr>
              <w:pStyle w:val="14"/>
            </w:pPr>
            <w:r>
              <w:t>对服务对象进行调查满意度</w:t>
            </w:r>
          </w:p>
        </w:tc>
        <w:tc>
          <w:tcPr>
            <w:tcW w:w="2466" w:type="dxa"/>
            <w:vAlign w:val="center"/>
          </w:tcPr>
          <w:p>
            <w:pPr>
              <w:pStyle w:val="14"/>
            </w:pPr>
            <w:r>
              <w:t>≥90百分比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3、基金监管法律宣传活动经费绩效目标表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廊坊市医疗保障局《关于印刷宣传贯彻&lt;条例&gt;加强基金监管集中宣传月活动实施方案》的通知，集中开展一次宣传月活动，组织全市定点医药机构召开教育培训会议，印制宣传及培训资料，在全市范围内宣传医疗保障基金监管法律法规与政策规定。</w:t>
            </w:r>
            <w:r>
              <w:tab/>
            </w:r>
            <w:r>
              <w:tab/>
            </w:r>
            <w:r>
              <w:tab/>
            </w:r>
            <w:r>
              <w:tab/>
            </w:r>
            <w:r>
              <w:tab/>
            </w:r>
            <w:r>
              <w:tab/>
            </w:r>
            <w:r>
              <w:tab/>
            </w:r>
            <w:r>
              <w:tab/>
            </w:r>
          </w:p>
          <w:p>
            <w:pPr>
              <w:pStyle w:val="14"/>
            </w:pPr>
          </w:p>
          <w:p>
            <w:pPr>
              <w:pStyle w:val="14"/>
            </w:pPr>
            <w:r>
              <w:t>2.通过集中宣传活动,强化医务人员法制意识,规范医疗服务行为,定点机构主动接受监管意识不断加强。参保人员对医疗保障相关政策和自身权益有了进一步了解熟知,自觉遵守相关医保政策,同时参与医保监管氛围更加浓厚。通过各种形式的“宣传贯彻《条例》加强基金监管”宣传,我市打击欺诈骗保高压态势得到持续巩固。</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基金监管宣传月活动时间</w:t>
            </w:r>
          </w:p>
        </w:tc>
        <w:tc>
          <w:tcPr>
            <w:tcW w:w="2466" w:type="dxa"/>
            <w:vAlign w:val="center"/>
          </w:tcPr>
          <w:p>
            <w:pPr>
              <w:pStyle w:val="14"/>
            </w:pPr>
            <w:r>
              <w:t>基金监管宣传月活动时间</w:t>
            </w:r>
          </w:p>
        </w:tc>
        <w:tc>
          <w:tcPr>
            <w:tcW w:w="2466" w:type="dxa"/>
            <w:vAlign w:val="center"/>
          </w:tcPr>
          <w:p>
            <w:pPr>
              <w:pStyle w:val="14"/>
            </w:pPr>
            <w:r>
              <w:t>≥1个月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定点医药机构培训率</w:t>
            </w:r>
          </w:p>
        </w:tc>
        <w:tc>
          <w:tcPr>
            <w:tcW w:w="2466" w:type="dxa"/>
            <w:vAlign w:val="center"/>
          </w:tcPr>
          <w:p>
            <w:pPr>
              <w:pStyle w:val="14"/>
            </w:pPr>
            <w:r>
              <w:t>定点医药机构培训率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基金监管宣传完成时点</w:t>
            </w:r>
          </w:p>
        </w:tc>
        <w:tc>
          <w:tcPr>
            <w:tcW w:w="2466" w:type="dxa"/>
            <w:vAlign w:val="center"/>
          </w:tcPr>
          <w:p>
            <w:pPr>
              <w:pStyle w:val="14"/>
            </w:pPr>
            <w:r>
              <w:t>基金监管宣传完成时点</w:t>
            </w:r>
          </w:p>
        </w:tc>
        <w:tc>
          <w:tcPr>
            <w:tcW w:w="2466" w:type="dxa"/>
            <w:vAlign w:val="center"/>
          </w:tcPr>
          <w:p>
            <w:pPr>
              <w:pStyle w:val="14"/>
            </w:pPr>
            <w:r>
              <w:t>≤10月份</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基金监管宣传成本控制</w:t>
            </w:r>
          </w:p>
        </w:tc>
        <w:tc>
          <w:tcPr>
            <w:tcW w:w="2466" w:type="dxa"/>
            <w:vAlign w:val="center"/>
          </w:tcPr>
          <w:p>
            <w:pPr>
              <w:pStyle w:val="14"/>
            </w:pPr>
            <w:r>
              <w:t>多方询价宣传成本控制金额</w:t>
            </w:r>
          </w:p>
        </w:tc>
        <w:tc>
          <w:tcPr>
            <w:tcW w:w="2466" w:type="dxa"/>
            <w:vAlign w:val="center"/>
          </w:tcPr>
          <w:p>
            <w:pPr>
              <w:pStyle w:val="14"/>
            </w:pPr>
            <w:r>
              <w:t>≤8万元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政策知晓率</w:t>
            </w:r>
          </w:p>
        </w:tc>
        <w:tc>
          <w:tcPr>
            <w:tcW w:w="2466" w:type="dxa"/>
            <w:vAlign w:val="center"/>
          </w:tcPr>
          <w:p>
            <w:pPr>
              <w:pStyle w:val="14"/>
            </w:pPr>
            <w:r>
              <w:t>培训宣传后政策知晓率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社会环境优化情况</w:t>
            </w:r>
          </w:p>
        </w:tc>
        <w:tc>
          <w:tcPr>
            <w:tcW w:w="2466" w:type="dxa"/>
            <w:vAlign w:val="center"/>
          </w:tcPr>
          <w:p>
            <w:pPr>
              <w:pStyle w:val="14"/>
            </w:pPr>
            <w:r>
              <w:t>项目实施对定点医药机构市场环境所带来的直接或间接影响情况。</w:t>
            </w:r>
          </w:p>
        </w:tc>
        <w:tc>
          <w:tcPr>
            <w:tcW w:w="2466" w:type="dxa"/>
            <w:vAlign w:val="center"/>
          </w:tcPr>
          <w:p>
            <w:pPr>
              <w:pStyle w:val="14"/>
            </w:pPr>
            <w:r>
              <w:t>明显优化</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普法宣传对象满意度(%)</w:t>
            </w:r>
          </w:p>
        </w:tc>
        <w:tc>
          <w:tcPr>
            <w:tcW w:w="2466" w:type="dxa"/>
            <w:vAlign w:val="center"/>
          </w:tcPr>
          <w:p>
            <w:pPr>
              <w:pStyle w:val="14"/>
            </w:pPr>
            <w:r>
              <w:t>普法宣传对象满意度(%)</w:t>
            </w:r>
          </w:p>
        </w:tc>
        <w:tc>
          <w:tcPr>
            <w:tcW w:w="2466" w:type="dxa"/>
            <w:vAlign w:val="center"/>
          </w:tcPr>
          <w:p>
            <w:pPr>
              <w:pStyle w:val="14"/>
            </w:pPr>
            <w:r>
              <w:t>≥95百分比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4、城乡居民医疗保险县级补助资金绩效目标表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1.参加城乡居民医疗保险人员的保补贴率达到100%。</w:t>
            </w:r>
          </w:p>
          <w:p>
            <w:pPr>
              <w:pStyle w:val="14"/>
            </w:pPr>
          </w:p>
          <w:p>
            <w:pPr>
              <w:pStyle w:val="14"/>
            </w:pPr>
          </w:p>
          <w:p>
            <w:pPr>
              <w:pStyle w:val="14"/>
            </w:pPr>
            <w:r>
              <w:t xml:space="preserve">2.县域政策范围内个人就医费用负担占医疗总费用的比例达到30%，甚至是小于30%，使得个人就医费用负担减轻。 </w:t>
            </w:r>
          </w:p>
          <w:p>
            <w:pPr>
              <w:pStyle w:val="14"/>
            </w:pPr>
          </w:p>
          <w:p>
            <w:pPr>
              <w:pStyle w:val="14"/>
            </w:pPr>
            <w:r>
              <w:t>3.提高医疗服务实时监控稽核水平，保障出院即报及时办结，逐步提高异地就医直接结算服务水平，确保医疗保险基金安全运行。夯实医疗保险基础管理，确保各项待遇落实到位。</w:t>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参保补贴率</w:t>
            </w:r>
          </w:p>
        </w:tc>
        <w:tc>
          <w:tcPr>
            <w:tcW w:w="2466" w:type="dxa"/>
            <w:vAlign w:val="center"/>
          </w:tcPr>
          <w:p>
            <w:pPr>
              <w:pStyle w:val="14"/>
            </w:pPr>
            <w:r>
              <w:t>参加城乡居民医疗保险人员的保补贴率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办理结算的及时率</w:t>
            </w:r>
          </w:p>
        </w:tc>
        <w:tc>
          <w:tcPr>
            <w:tcW w:w="2466" w:type="dxa"/>
            <w:vAlign w:val="center"/>
          </w:tcPr>
          <w:p>
            <w:pPr>
              <w:pStyle w:val="14"/>
            </w:pPr>
            <w:r>
              <w:t>办理结算的及时率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保障就医报销直接结算资金拨付及时率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补助金额总量</w:t>
            </w:r>
          </w:p>
        </w:tc>
        <w:tc>
          <w:tcPr>
            <w:tcW w:w="2466" w:type="dxa"/>
            <w:vAlign w:val="center"/>
          </w:tcPr>
          <w:p>
            <w:pPr>
              <w:pStyle w:val="14"/>
            </w:pPr>
            <w:r>
              <w:t>补助金额总量</w:t>
            </w:r>
          </w:p>
        </w:tc>
        <w:tc>
          <w:tcPr>
            <w:tcW w:w="2466" w:type="dxa"/>
            <w:vAlign w:val="center"/>
          </w:tcPr>
          <w:p>
            <w:pPr>
              <w:pStyle w:val="14"/>
            </w:pPr>
            <w:r>
              <w:t>≤7320万元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县域内政策范围内个人就医费用负担比例</w:t>
            </w:r>
          </w:p>
        </w:tc>
        <w:tc>
          <w:tcPr>
            <w:tcW w:w="2466" w:type="dxa"/>
            <w:vAlign w:val="center"/>
          </w:tcPr>
          <w:p>
            <w:pPr>
              <w:pStyle w:val="14"/>
            </w:pPr>
            <w:r>
              <w:t>县域内政策范围内个人就医费用负担比例</w:t>
            </w:r>
          </w:p>
        </w:tc>
        <w:tc>
          <w:tcPr>
            <w:tcW w:w="2466" w:type="dxa"/>
            <w:vAlign w:val="center"/>
          </w:tcPr>
          <w:p>
            <w:pPr>
              <w:pStyle w:val="14"/>
            </w:pPr>
            <w:r>
              <w:t>≤30百分比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个人就医费用负担减轻</w:t>
            </w:r>
          </w:p>
        </w:tc>
        <w:tc>
          <w:tcPr>
            <w:tcW w:w="2466" w:type="dxa"/>
            <w:vAlign w:val="center"/>
          </w:tcPr>
          <w:p>
            <w:pPr>
              <w:pStyle w:val="14"/>
            </w:pPr>
            <w:r>
              <w:t>个人就医费用负担减轻</w:t>
            </w:r>
          </w:p>
        </w:tc>
        <w:tc>
          <w:tcPr>
            <w:tcW w:w="2466" w:type="dxa"/>
            <w:vAlign w:val="center"/>
          </w:tcPr>
          <w:p>
            <w:pPr>
              <w:pStyle w:val="14"/>
            </w:pPr>
            <w:r>
              <w:t>效果明显</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居民医保政策知晓率</w:t>
            </w:r>
          </w:p>
        </w:tc>
        <w:tc>
          <w:tcPr>
            <w:tcW w:w="2466" w:type="dxa"/>
            <w:vAlign w:val="center"/>
          </w:tcPr>
          <w:p>
            <w:pPr>
              <w:pStyle w:val="14"/>
            </w:pPr>
            <w:r>
              <w:t>居民医保政策知晓率</w:t>
            </w:r>
          </w:p>
        </w:tc>
        <w:tc>
          <w:tcPr>
            <w:tcW w:w="2466" w:type="dxa"/>
            <w:vAlign w:val="center"/>
          </w:tcPr>
          <w:p>
            <w:pPr>
              <w:pStyle w:val="14"/>
            </w:pPr>
            <w:r>
              <w:t>≥90百分比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参加城乡居民医疗保险满意度</w:t>
            </w:r>
          </w:p>
        </w:tc>
        <w:tc>
          <w:tcPr>
            <w:tcW w:w="2466" w:type="dxa"/>
            <w:vAlign w:val="center"/>
          </w:tcPr>
          <w:p>
            <w:pPr>
              <w:pStyle w:val="14"/>
            </w:pPr>
            <w:r>
              <w:t>参加城乡居民医疗保险满意度</w:t>
            </w:r>
          </w:p>
        </w:tc>
        <w:tc>
          <w:tcPr>
            <w:tcW w:w="2466" w:type="dxa"/>
            <w:vAlign w:val="center"/>
          </w:tcPr>
          <w:p>
            <w:pPr>
              <w:pStyle w:val="14"/>
            </w:pPr>
            <w:r>
              <w:t>≥95百分比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5、关于提前下达2022年省级财政城乡居民医保村级代办员补助资金的通知（冀财社[2021]182号）绩效目标表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1.村级代办员补助资金按时、发放足额发放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代办员补助覆盖范围</w:t>
            </w:r>
          </w:p>
        </w:tc>
        <w:tc>
          <w:tcPr>
            <w:tcW w:w="2466" w:type="dxa"/>
            <w:vAlign w:val="center"/>
          </w:tcPr>
          <w:p>
            <w:pPr>
              <w:pStyle w:val="14"/>
            </w:pPr>
            <w:r>
              <w:t>代办员补助乡镇（区、办）数量</w:t>
            </w:r>
          </w:p>
        </w:tc>
        <w:tc>
          <w:tcPr>
            <w:tcW w:w="2466" w:type="dxa"/>
            <w:vAlign w:val="center"/>
          </w:tcPr>
          <w:p>
            <w:pPr>
              <w:pStyle w:val="14"/>
            </w:pPr>
            <w:r>
              <w:t>≥15个</w:t>
            </w:r>
          </w:p>
        </w:tc>
        <w:tc>
          <w:tcPr>
            <w:tcW w:w="2466"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补助金发放率(%)</w:t>
            </w:r>
          </w:p>
        </w:tc>
        <w:tc>
          <w:tcPr>
            <w:tcW w:w="2466" w:type="dxa"/>
            <w:vAlign w:val="center"/>
          </w:tcPr>
          <w:p>
            <w:pPr>
              <w:pStyle w:val="14"/>
            </w:pPr>
            <w:r>
              <w:t>实际发放的补助金金额占计划发放金额的比率</w:t>
            </w:r>
          </w:p>
        </w:tc>
        <w:tc>
          <w:tcPr>
            <w:tcW w:w="2466" w:type="dxa"/>
            <w:vAlign w:val="center"/>
          </w:tcPr>
          <w:p>
            <w:pPr>
              <w:pStyle w:val="14"/>
            </w:pPr>
            <w:r>
              <w:t>100百分比</w:t>
            </w:r>
          </w:p>
        </w:tc>
        <w:tc>
          <w:tcPr>
            <w:tcW w:w="2466"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完成率资金支付及时率</w:t>
            </w:r>
          </w:p>
        </w:tc>
        <w:tc>
          <w:tcPr>
            <w:tcW w:w="2466" w:type="dxa"/>
            <w:vAlign w:val="center"/>
          </w:tcPr>
          <w:p>
            <w:pPr>
              <w:pStyle w:val="14"/>
            </w:pPr>
            <w:r>
              <w:t>补助资金及时发放占比</w:t>
            </w:r>
          </w:p>
        </w:tc>
        <w:tc>
          <w:tcPr>
            <w:tcW w:w="2466" w:type="dxa"/>
            <w:vAlign w:val="center"/>
          </w:tcPr>
          <w:p>
            <w:pPr>
              <w:pStyle w:val="14"/>
            </w:pPr>
            <w:r>
              <w:t>100百分比</w:t>
            </w:r>
          </w:p>
        </w:tc>
        <w:tc>
          <w:tcPr>
            <w:tcW w:w="2466"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无内容支出金额不超过预算金额</w:t>
            </w:r>
          </w:p>
        </w:tc>
        <w:tc>
          <w:tcPr>
            <w:tcW w:w="2466" w:type="dxa"/>
            <w:vAlign w:val="center"/>
          </w:tcPr>
          <w:p>
            <w:pPr>
              <w:pStyle w:val="14"/>
            </w:pPr>
            <w:r>
              <w:t>支出金额不超过预算金额</w:t>
            </w:r>
          </w:p>
        </w:tc>
        <w:tc>
          <w:tcPr>
            <w:tcW w:w="2466" w:type="dxa"/>
            <w:vAlign w:val="center"/>
          </w:tcPr>
          <w:p>
            <w:pPr>
              <w:pStyle w:val="14"/>
            </w:pPr>
            <w:r>
              <w:t>≤9万元</w:t>
            </w:r>
          </w:p>
        </w:tc>
        <w:tc>
          <w:tcPr>
            <w:tcW w:w="2466"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城乡居民政策知晓率（%）</w:t>
            </w:r>
          </w:p>
        </w:tc>
        <w:tc>
          <w:tcPr>
            <w:tcW w:w="2466" w:type="dxa"/>
            <w:vAlign w:val="center"/>
          </w:tcPr>
          <w:p>
            <w:pPr>
              <w:pStyle w:val="14"/>
            </w:pPr>
            <w:r>
              <w:t>进一步宣传相关政策</w:t>
            </w:r>
          </w:p>
        </w:tc>
        <w:tc>
          <w:tcPr>
            <w:tcW w:w="2466" w:type="dxa"/>
            <w:vAlign w:val="center"/>
          </w:tcPr>
          <w:p>
            <w:pPr>
              <w:pStyle w:val="14"/>
            </w:pPr>
            <w:r>
              <w:t>效果明显</w:t>
            </w:r>
          </w:p>
        </w:tc>
        <w:tc>
          <w:tcPr>
            <w:tcW w:w="2466" w:type="dxa"/>
            <w:vAlign w:val="center"/>
          </w:tcPr>
          <w:p>
            <w:pPr>
              <w:pStyle w:val="14"/>
            </w:pPr>
            <w:r>
              <w:t>冀财社[2021]182号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村级代办员满意度（%）</w:t>
            </w:r>
          </w:p>
        </w:tc>
        <w:tc>
          <w:tcPr>
            <w:tcW w:w="2466" w:type="dxa"/>
            <w:vAlign w:val="center"/>
          </w:tcPr>
          <w:p>
            <w:pPr>
              <w:pStyle w:val="14"/>
            </w:pPr>
            <w:r>
              <w:t>村级代办员满意度</w:t>
            </w:r>
          </w:p>
        </w:tc>
        <w:tc>
          <w:tcPr>
            <w:tcW w:w="2466" w:type="dxa"/>
            <w:vAlign w:val="center"/>
          </w:tcPr>
          <w:p>
            <w:pPr>
              <w:pStyle w:val="14"/>
            </w:pPr>
            <w:r>
              <w:t>≥95百分比</w:t>
            </w:r>
          </w:p>
        </w:tc>
        <w:tc>
          <w:tcPr>
            <w:tcW w:w="2466" w:type="dxa"/>
            <w:vAlign w:val="center"/>
          </w:tcPr>
          <w:p>
            <w:pPr>
              <w:pStyle w:val="14"/>
            </w:pPr>
            <w:r>
              <w:t>冀财社[2021]182号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6、关于提前下达2022年省级财政医疗救助补助资金的通知（冀财社[2021]179号）绩效目标表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1."科学确定救助对象范围，夯实医疗救助托底保障，健全防范和化解因病致返贫长效机制.强化基本医疗保险。大病保险、医疔救助三重制度综合保障，实事求是确定困难群众医疗保障待遇标准，确保困难群众基 本医疗有保障，不因罹患重特大疾病影响基本生活，同时避免过度保障。</w:t>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医疗救助对象人次规模</w:t>
            </w:r>
          </w:p>
        </w:tc>
        <w:tc>
          <w:tcPr>
            <w:tcW w:w="2466" w:type="dxa"/>
            <w:vAlign w:val="center"/>
          </w:tcPr>
          <w:p>
            <w:pPr>
              <w:pStyle w:val="14"/>
            </w:pPr>
            <w:r>
              <w:t>医疗救助对象人次规模</w:t>
            </w:r>
          </w:p>
        </w:tc>
        <w:tc>
          <w:tcPr>
            <w:tcW w:w="2466" w:type="dxa"/>
            <w:vAlign w:val="center"/>
          </w:tcPr>
          <w:p>
            <w:pPr>
              <w:pStyle w:val="14"/>
            </w:pPr>
            <w:r>
              <w:t>符合救助条件的对象按 规定纳入救助范围</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符合资助条件的农村低收入人口资助参保政 策履盖率</w:t>
            </w:r>
          </w:p>
        </w:tc>
        <w:tc>
          <w:tcPr>
            <w:tcW w:w="2466" w:type="dxa"/>
            <w:vAlign w:val="center"/>
          </w:tcPr>
          <w:p>
            <w:pPr>
              <w:pStyle w:val="14"/>
            </w:pPr>
            <w:r>
              <w:t>符合资助条件的农村低收入人口资助参保政 策履盖率</w:t>
            </w:r>
          </w:p>
        </w:tc>
        <w:tc>
          <w:tcPr>
            <w:tcW w:w="2466" w:type="dxa"/>
            <w:vAlign w:val="center"/>
          </w:tcPr>
          <w:p>
            <w:pPr>
              <w:pStyle w:val="14"/>
            </w:pPr>
            <w:r>
              <w:t>100百分比</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资金支出金额成本控制</w:t>
            </w:r>
          </w:p>
        </w:tc>
        <w:tc>
          <w:tcPr>
            <w:tcW w:w="2466" w:type="dxa"/>
            <w:vAlign w:val="center"/>
          </w:tcPr>
          <w:p>
            <w:pPr>
              <w:pStyle w:val="14"/>
            </w:pPr>
            <w:r>
              <w:t>资金支出金额成本控制</w:t>
            </w:r>
          </w:p>
        </w:tc>
        <w:tc>
          <w:tcPr>
            <w:tcW w:w="2466" w:type="dxa"/>
            <w:vAlign w:val="center"/>
          </w:tcPr>
          <w:p>
            <w:pPr>
              <w:pStyle w:val="14"/>
            </w:pPr>
            <w:r>
              <w:t>≤63万元</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市域内“一站式”即时结算履盖率</w:t>
            </w:r>
          </w:p>
        </w:tc>
        <w:tc>
          <w:tcPr>
            <w:tcW w:w="2466" w:type="dxa"/>
            <w:vAlign w:val="center"/>
          </w:tcPr>
          <w:p>
            <w:pPr>
              <w:pStyle w:val="14"/>
            </w:pPr>
            <w:r>
              <w:t>市域内“一站式”即时结算履盖率</w:t>
            </w:r>
          </w:p>
        </w:tc>
        <w:tc>
          <w:tcPr>
            <w:tcW w:w="2466" w:type="dxa"/>
            <w:vAlign w:val="center"/>
          </w:tcPr>
          <w:p>
            <w:pPr>
              <w:pStyle w:val="14"/>
            </w:pPr>
            <w:r>
              <w:t>比低于上年</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医疗救助对象厦盖范围</w:t>
            </w:r>
          </w:p>
        </w:tc>
        <w:tc>
          <w:tcPr>
            <w:tcW w:w="2466" w:type="dxa"/>
            <w:vAlign w:val="center"/>
          </w:tcPr>
          <w:p>
            <w:pPr>
              <w:pStyle w:val="14"/>
            </w:pPr>
            <w:r>
              <w:t>医疗救助对象厦盖范围</w:t>
            </w:r>
          </w:p>
        </w:tc>
        <w:tc>
          <w:tcPr>
            <w:tcW w:w="2466" w:type="dxa"/>
            <w:vAlign w:val="center"/>
          </w:tcPr>
          <w:p>
            <w:pPr>
              <w:pStyle w:val="14"/>
            </w:pPr>
            <w:r>
              <w:t>稳步拓展</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困谁群众看病就医方便程度</w:t>
            </w:r>
          </w:p>
        </w:tc>
        <w:tc>
          <w:tcPr>
            <w:tcW w:w="2466" w:type="dxa"/>
            <w:vAlign w:val="center"/>
          </w:tcPr>
          <w:p>
            <w:pPr>
              <w:pStyle w:val="14"/>
            </w:pPr>
            <w:r>
              <w:t>困谁群众看病就医方便程度</w:t>
            </w:r>
          </w:p>
        </w:tc>
        <w:tc>
          <w:tcPr>
            <w:tcW w:w="2466" w:type="dxa"/>
            <w:vAlign w:val="center"/>
          </w:tcPr>
          <w:p>
            <w:pPr>
              <w:pStyle w:val="14"/>
            </w:pPr>
            <w:r>
              <w:t>明显提高</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对健全医疗保障制度体系的作用</w:t>
            </w:r>
          </w:p>
        </w:tc>
        <w:tc>
          <w:tcPr>
            <w:tcW w:w="2466" w:type="dxa"/>
            <w:vAlign w:val="center"/>
          </w:tcPr>
          <w:p>
            <w:pPr>
              <w:pStyle w:val="14"/>
            </w:pPr>
            <w:r>
              <w:t>对健全医疗保障制度体系的作用</w:t>
            </w:r>
          </w:p>
        </w:tc>
        <w:tc>
          <w:tcPr>
            <w:tcW w:w="2466" w:type="dxa"/>
            <w:vAlign w:val="center"/>
          </w:tcPr>
          <w:p>
            <w:pPr>
              <w:pStyle w:val="14"/>
            </w:pPr>
            <w:r>
              <w:t>成效明显</w:t>
            </w:r>
          </w:p>
        </w:tc>
        <w:tc>
          <w:tcPr>
            <w:tcW w:w="2466" w:type="dxa"/>
            <w:vAlign w:val="center"/>
          </w:tcPr>
          <w:p>
            <w:pPr>
              <w:pStyle w:val="14"/>
            </w:pPr>
            <w:r>
              <w:t>冀财社[2021]179号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对服务对象进行调查满意度比率</w:t>
            </w:r>
          </w:p>
        </w:tc>
        <w:tc>
          <w:tcPr>
            <w:tcW w:w="2466" w:type="dxa"/>
            <w:vAlign w:val="center"/>
          </w:tcPr>
          <w:p>
            <w:pPr>
              <w:pStyle w:val="14"/>
            </w:pPr>
            <w:r>
              <w:t>≥95百分比</w:t>
            </w:r>
          </w:p>
        </w:tc>
        <w:tc>
          <w:tcPr>
            <w:tcW w:w="2466" w:type="dxa"/>
            <w:vAlign w:val="center"/>
          </w:tcPr>
          <w:p>
            <w:pPr>
              <w:pStyle w:val="14"/>
            </w:pPr>
            <w:r>
              <w:t>冀财社[2021]179号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7、关于提前下达2022年中央财政医疗服务与保障能力提升补助资金的通知（冀财社[2021]164号）绩效目标表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1.国家统一医保信息平台正常运行</w:t>
            </w:r>
            <w:r>
              <w:tab/>
            </w:r>
            <w:r>
              <w:tab/>
            </w:r>
            <w:r>
              <w:tab/>
            </w:r>
            <w:r>
              <w:tab/>
            </w:r>
            <w:r>
              <w:tab/>
            </w:r>
            <w:r>
              <w:tab/>
            </w:r>
            <w:r>
              <w:tab/>
            </w:r>
          </w:p>
          <w:p>
            <w:pPr>
              <w:pStyle w:val="14"/>
            </w:pPr>
          </w:p>
          <w:p>
            <w:pPr>
              <w:pStyle w:val="14"/>
            </w:pPr>
            <w:r>
              <w:t>2.定点医药机构监督检查覆盖</w:t>
            </w:r>
            <w:r>
              <w:tab/>
            </w:r>
            <w:r>
              <w:tab/>
            </w:r>
            <w:r>
              <w:tab/>
            </w:r>
            <w:r>
              <w:tab/>
            </w:r>
            <w:r>
              <w:tab/>
            </w:r>
            <w:r>
              <w:tab/>
            </w:r>
            <w:r>
              <w:tab/>
            </w:r>
          </w:p>
          <w:p>
            <w:pPr>
              <w:pStyle w:val="14"/>
            </w:pPr>
          </w:p>
          <w:p>
            <w:pPr>
              <w:pStyle w:val="14"/>
            </w:pPr>
            <w:r>
              <w:t>3.推行医保支付方式改革</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召开医保工作市级新闻发布会、政策吹风会次数</w:t>
            </w:r>
          </w:p>
        </w:tc>
        <w:tc>
          <w:tcPr>
            <w:tcW w:w="2466" w:type="dxa"/>
            <w:vAlign w:val="center"/>
          </w:tcPr>
          <w:p>
            <w:pPr>
              <w:pStyle w:val="14"/>
            </w:pPr>
            <w:r>
              <w:t>召开医保工作市级新闻发布会、政策吹风会次数</w:t>
            </w:r>
          </w:p>
        </w:tc>
        <w:tc>
          <w:tcPr>
            <w:tcW w:w="2466" w:type="dxa"/>
            <w:vAlign w:val="center"/>
          </w:tcPr>
          <w:p>
            <w:pPr>
              <w:pStyle w:val="14"/>
            </w:pPr>
            <w:r>
              <w:t>≥2次</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召开医保工作政府信息公开市级工作会议或培训次数</w:t>
            </w:r>
          </w:p>
        </w:tc>
        <w:tc>
          <w:tcPr>
            <w:tcW w:w="2466" w:type="dxa"/>
            <w:vAlign w:val="center"/>
          </w:tcPr>
          <w:p>
            <w:pPr>
              <w:pStyle w:val="14"/>
            </w:pPr>
            <w:r>
              <w:t>召开医保工作政府信息公开市级工作会议或培训次数</w:t>
            </w:r>
          </w:p>
        </w:tc>
        <w:tc>
          <w:tcPr>
            <w:tcW w:w="2466" w:type="dxa"/>
            <w:vAlign w:val="center"/>
          </w:tcPr>
          <w:p>
            <w:pPr>
              <w:pStyle w:val="14"/>
            </w:pPr>
            <w:r>
              <w:t>≥2次</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医保信息系统验收合格率</w:t>
            </w:r>
          </w:p>
        </w:tc>
        <w:tc>
          <w:tcPr>
            <w:tcW w:w="2466" w:type="dxa"/>
            <w:vAlign w:val="center"/>
          </w:tcPr>
          <w:p>
            <w:pPr>
              <w:pStyle w:val="14"/>
            </w:pPr>
            <w:r>
              <w:t>医保信息系统验收合格率</w:t>
            </w:r>
          </w:p>
        </w:tc>
        <w:tc>
          <w:tcPr>
            <w:tcW w:w="2466" w:type="dxa"/>
            <w:vAlign w:val="center"/>
          </w:tcPr>
          <w:p>
            <w:pPr>
              <w:pStyle w:val="14"/>
            </w:pPr>
            <w:r>
              <w:t>≥90百分比</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医保信息系统正常运行率</w:t>
            </w:r>
          </w:p>
        </w:tc>
        <w:tc>
          <w:tcPr>
            <w:tcW w:w="2466" w:type="dxa"/>
            <w:vAlign w:val="center"/>
          </w:tcPr>
          <w:p>
            <w:pPr>
              <w:pStyle w:val="14"/>
            </w:pPr>
            <w:r>
              <w:t>医保信息系统正常运行率</w:t>
            </w:r>
          </w:p>
        </w:tc>
        <w:tc>
          <w:tcPr>
            <w:tcW w:w="2466" w:type="dxa"/>
            <w:vAlign w:val="center"/>
          </w:tcPr>
          <w:p>
            <w:pPr>
              <w:pStyle w:val="14"/>
            </w:pPr>
            <w:r>
              <w:t>≥90百分比</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医保信息系统重大安全事件影响时间</w:t>
            </w:r>
          </w:p>
        </w:tc>
        <w:tc>
          <w:tcPr>
            <w:tcW w:w="2466" w:type="dxa"/>
            <w:vAlign w:val="center"/>
          </w:tcPr>
          <w:p>
            <w:pPr>
              <w:pStyle w:val="14"/>
            </w:pPr>
            <w:r>
              <w:t>医保信息系统重大安全事件影响时间</w:t>
            </w:r>
          </w:p>
        </w:tc>
        <w:tc>
          <w:tcPr>
            <w:tcW w:w="2466" w:type="dxa"/>
            <w:vAlign w:val="center"/>
          </w:tcPr>
          <w:p>
            <w:pPr>
              <w:pStyle w:val="14"/>
            </w:pPr>
            <w:r>
              <w:t>≤60分钟</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定点医药机构监督检查覆盖率</w:t>
            </w:r>
          </w:p>
        </w:tc>
        <w:tc>
          <w:tcPr>
            <w:tcW w:w="2466" w:type="dxa"/>
            <w:vAlign w:val="center"/>
          </w:tcPr>
          <w:p>
            <w:pPr>
              <w:pStyle w:val="14"/>
            </w:pPr>
            <w:r>
              <w:t>定点医药机构监督检查覆盖率</w:t>
            </w:r>
          </w:p>
        </w:tc>
        <w:tc>
          <w:tcPr>
            <w:tcW w:w="2466" w:type="dxa"/>
            <w:vAlign w:val="center"/>
          </w:tcPr>
          <w:p>
            <w:pPr>
              <w:pStyle w:val="14"/>
            </w:pPr>
            <w:r>
              <w:t>100百分比</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医保人才培训合格率</w:t>
            </w:r>
          </w:p>
        </w:tc>
        <w:tc>
          <w:tcPr>
            <w:tcW w:w="2466" w:type="dxa"/>
            <w:vAlign w:val="center"/>
          </w:tcPr>
          <w:p>
            <w:pPr>
              <w:pStyle w:val="14"/>
            </w:pPr>
            <w:r>
              <w:t>医保人才培训合格率</w:t>
            </w:r>
          </w:p>
        </w:tc>
        <w:tc>
          <w:tcPr>
            <w:tcW w:w="2466" w:type="dxa"/>
            <w:vAlign w:val="center"/>
          </w:tcPr>
          <w:p>
            <w:pPr>
              <w:pStyle w:val="14"/>
            </w:pPr>
            <w:r>
              <w:t>≥90百分比</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电子医疗凭证运行时间</w:t>
            </w:r>
          </w:p>
        </w:tc>
        <w:tc>
          <w:tcPr>
            <w:tcW w:w="2466" w:type="dxa"/>
            <w:vAlign w:val="center"/>
          </w:tcPr>
          <w:p>
            <w:pPr>
              <w:pStyle w:val="14"/>
            </w:pPr>
            <w:r>
              <w:t>电子医疗凭证运行时间</w:t>
            </w:r>
          </w:p>
        </w:tc>
        <w:tc>
          <w:tcPr>
            <w:tcW w:w="2466" w:type="dxa"/>
            <w:vAlign w:val="center"/>
          </w:tcPr>
          <w:p>
            <w:pPr>
              <w:pStyle w:val="14"/>
            </w:pPr>
            <w:r>
              <w:t>≤12月份</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该项目运行成本控制</w:t>
            </w:r>
          </w:p>
        </w:tc>
        <w:tc>
          <w:tcPr>
            <w:tcW w:w="2466" w:type="dxa"/>
            <w:vAlign w:val="center"/>
          </w:tcPr>
          <w:p>
            <w:pPr>
              <w:pStyle w:val="14"/>
            </w:pPr>
            <w:r>
              <w:t>该项目运行成本控制</w:t>
            </w:r>
          </w:p>
        </w:tc>
        <w:tc>
          <w:tcPr>
            <w:tcW w:w="2466" w:type="dxa"/>
            <w:vAlign w:val="center"/>
          </w:tcPr>
          <w:p>
            <w:pPr>
              <w:pStyle w:val="14"/>
            </w:pPr>
            <w:r>
              <w:t>≤17万元</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跨省异地就医直接结算率</w:t>
            </w:r>
          </w:p>
        </w:tc>
        <w:tc>
          <w:tcPr>
            <w:tcW w:w="2466" w:type="dxa"/>
            <w:vAlign w:val="center"/>
          </w:tcPr>
          <w:p>
            <w:pPr>
              <w:pStyle w:val="14"/>
            </w:pPr>
            <w:r>
              <w:t>跨省异地就医直接结算率</w:t>
            </w:r>
          </w:p>
        </w:tc>
        <w:tc>
          <w:tcPr>
            <w:tcW w:w="2466" w:type="dxa"/>
            <w:vAlign w:val="center"/>
          </w:tcPr>
          <w:p>
            <w:pPr>
              <w:pStyle w:val="14"/>
            </w:pPr>
            <w:r>
              <w:t>≥90百分比</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异地就医网上备案率</w:t>
            </w:r>
          </w:p>
        </w:tc>
        <w:tc>
          <w:tcPr>
            <w:tcW w:w="2466" w:type="dxa"/>
            <w:vAlign w:val="center"/>
          </w:tcPr>
          <w:p>
            <w:pPr>
              <w:pStyle w:val="14"/>
            </w:pPr>
            <w:r>
              <w:t>异地就医网上备案率</w:t>
            </w:r>
          </w:p>
        </w:tc>
        <w:tc>
          <w:tcPr>
            <w:tcW w:w="2466" w:type="dxa"/>
            <w:vAlign w:val="center"/>
          </w:tcPr>
          <w:p>
            <w:pPr>
              <w:pStyle w:val="14"/>
            </w:pPr>
            <w:r>
              <w:t>≥90百分比</w:t>
            </w:r>
          </w:p>
        </w:tc>
        <w:tc>
          <w:tcPr>
            <w:tcW w:w="2466" w:type="dxa"/>
            <w:vAlign w:val="center"/>
          </w:tcPr>
          <w:p>
            <w:pPr>
              <w:pStyle w:val="14"/>
            </w:pPr>
            <w:r>
              <w:t>冀财社[2021]164号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参保人员对医保服务的满意度</w:t>
            </w:r>
          </w:p>
        </w:tc>
        <w:tc>
          <w:tcPr>
            <w:tcW w:w="2466" w:type="dxa"/>
            <w:vAlign w:val="center"/>
          </w:tcPr>
          <w:p>
            <w:pPr>
              <w:pStyle w:val="14"/>
            </w:pPr>
            <w:r>
              <w:t>参保人员对医保服务的满意度</w:t>
            </w:r>
          </w:p>
        </w:tc>
        <w:tc>
          <w:tcPr>
            <w:tcW w:w="2466" w:type="dxa"/>
            <w:vAlign w:val="center"/>
          </w:tcPr>
          <w:p>
            <w:pPr>
              <w:pStyle w:val="14"/>
            </w:pPr>
            <w:r>
              <w:t>≥95百分比</w:t>
            </w:r>
          </w:p>
        </w:tc>
        <w:tc>
          <w:tcPr>
            <w:tcW w:w="2466" w:type="dxa"/>
            <w:vAlign w:val="center"/>
          </w:tcPr>
          <w:p>
            <w:pPr>
              <w:pStyle w:val="14"/>
            </w:pPr>
            <w:r>
              <w:t>冀财社[2021]164号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8、关于提前下达2022年中央财政医疗救助补助资金预算的通知（冀财社[2021]159号）绩效目标表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1.科学确定救助对象范围，夯实医疗救助托底保障，健全防范和化解因病致返贫长效机制.强化基本医疗保险。大病保险、医疔救助三重制度综合保障，实事求是确定困难群众医疗保障待遇标准，确保困难群众基 本医疗有保障，不因罹患重特大疾病影响基本生活，同时避免过度保障。</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医疗救助对象人次规模</w:t>
            </w:r>
          </w:p>
        </w:tc>
        <w:tc>
          <w:tcPr>
            <w:tcW w:w="2466" w:type="dxa"/>
            <w:vAlign w:val="center"/>
          </w:tcPr>
          <w:p>
            <w:pPr>
              <w:pStyle w:val="14"/>
            </w:pPr>
            <w:r>
              <w:t>医疗救助对象人次规模</w:t>
            </w:r>
          </w:p>
          <w:p>
            <w:pPr>
              <w:pStyle w:val="14"/>
            </w:pPr>
          </w:p>
        </w:tc>
        <w:tc>
          <w:tcPr>
            <w:tcW w:w="2466" w:type="dxa"/>
            <w:vAlign w:val="center"/>
          </w:tcPr>
          <w:p>
            <w:pPr>
              <w:pStyle w:val="14"/>
            </w:pPr>
            <w:r>
              <w:t>符合救助条件的对象按 规定纳入救助范围</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符合资助条件的农村低收入人口资助参保政 策履盖率</w:t>
            </w:r>
          </w:p>
          <w:p>
            <w:pPr>
              <w:pStyle w:val="14"/>
            </w:pPr>
          </w:p>
        </w:tc>
        <w:tc>
          <w:tcPr>
            <w:tcW w:w="2466" w:type="dxa"/>
            <w:vAlign w:val="center"/>
          </w:tcPr>
          <w:p>
            <w:pPr>
              <w:pStyle w:val="14"/>
            </w:pPr>
            <w:r>
              <w:t>符合资助条件的农村低收入人口资助参保政 策履盖率</w:t>
            </w:r>
          </w:p>
        </w:tc>
        <w:tc>
          <w:tcPr>
            <w:tcW w:w="2466" w:type="dxa"/>
            <w:vAlign w:val="center"/>
          </w:tcPr>
          <w:p>
            <w:pPr>
              <w:pStyle w:val="14"/>
            </w:pPr>
            <w:r>
              <w:t>100百分比</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资金支出金额成本控制</w:t>
            </w:r>
          </w:p>
        </w:tc>
        <w:tc>
          <w:tcPr>
            <w:tcW w:w="2466" w:type="dxa"/>
            <w:vAlign w:val="center"/>
          </w:tcPr>
          <w:p>
            <w:pPr>
              <w:pStyle w:val="14"/>
            </w:pPr>
            <w:r>
              <w:t>资金支出金额成本控制</w:t>
            </w:r>
          </w:p>
          <w:p>
            <w:pPr>
              <w:pStyle w:val="14"/>
            </w:pPr>
          </w:p>
        </w:tc>
        <w:tc>
          <w:tcPr>
            <w:tcW w:w="2466" w:type="dxa"/>
            <w:vAlign w:val="center"/>
          </w:tcPr>
          <w:p>
            <w:pPr>
              <w:pStyle w:val="14"/>
            </w:pPr>
            <w:r>
              <w:t>≤97万元</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市域内“一站式”即时结算履盖率</w:t>
            </w:r>
          </w:p>
        </w:tc>
        <w:tc>
          <w:tcPr>
            <w:tcW w:w="2466" w:type="dxa"/>
            <w:vAlign w:val="center"/>
          </w:tcPr>
          <w:p>
            <w:pPr>
              <w:pStyle w:val="14"/>
            </w:pPr>
            <w:r>
              <w:t>市域内“一站式”即时结算履盖率</w:t>
            </w:r>
          </w:p>
        </w:tc>
        <w:tc>
          <w:tcPr>
            <w:tcW w:w="2466" w:type="dxa"/>
            <w:vAlign w:val="center"/>
          </w:tcPr>
          <w:p>
            <w:pPr>
              <w:pStyle w:val="14"/>
            </w:pPr>
            <w:r>
              <w:t>比低于上年</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医疗救助对象厦盖范围</w:t>
            </w:r>
          </w:p>
        </w:tc>
        <w:tc>
          <w:tcPr>
            <w:tcW w:w="2466" w:type="dxa"/>
            <w:vAlign w:val="center"/>
          </w:tcPr>
          <w:p>
            <w:pPr>
              <w:pStyle w:val="14"/>
            </w:pPr>
            <w:r>
              <w:t>医疗救助对象厦盖范围</w:t>
            </w:r>
          </w:p>
        </w:tc>
        <w:tc>
          <w:tcPr>
            <w:tcW w:w="2466" w:type="dxa"/>
            <w:vAlign w:val="center"/>
          </w:tcPr>
          <w:p>
            <w:pPr>
              <w:pStyle w:val="14"/>
            </w:pPr>
            <w:r>
              <w:t>稳步拓展</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困谁群众看病就医方便程度</w:t>
            </w:r>
          </w:p>
        </w:tc>
        <w:tc>
          <w:tcPr>
            <w:tcW w:w="2466" w:type="dxa"/>
            <w:vAlign w:val="center"/>
          </w:tcPr>
          <w:p>
            <w:pPr>
              <w:pStyle w:val="14"/>
            </w:pPr>
            <w:r>
              <w:t>困谁群众看病就医方便程度</w:t>
            </w:r>
          </w:p>
        </w:tc>
        <w:tc>
          <w:tcPr>
            <w:tcW w:w="2466" w:type="dxa"/>
            <w:vAlign w:val="center"/>
          </w:tcPr>
          <w:p>
            <w:pPr>
              <w:pStyle w:val="14"/>
            </w:pPr>
            <w:r>
              <w:t>明显提高</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对健全医疗保障制度体系的作用</w:t>
            </w:r>
          </w:p>
        </w:tc>
        <w:tc>
          <w:tcPr>
            <w:tcW w:w="2466" w:type="dxa"/>
            <w:vAlign w:val="center"/>
          </w:tcPr>
          <w:p>
            <w:pPr>
              <w:pStyle w:val="14"/>
            </w:pPr>
            <w:r>
              <w:t>对健全医疗保障制度体系的作用</w:t>
            </w:r>
          </w:p>
          <w:p>
            <w:pPr>
              <w:pStyle w:val="14"/>
            </w:pPr>
          </w:p>
        </w:tc>
        <w:tc>
          <w:tcPr>
            <w:tcW w:w="2466" w:type="dxa"/>
            <w:vAlign w:val="center"/>
          </w:tcPr>
          <w:p>
            <w:pPr>
              <w:pStyle w:val="14"/>
            </w:pPr>
            <w:r>
              <w:t>成效明显</w:t>
            </w:r>
          </w:p>
        </w:tc>
        <w:tc>
          <w:tcPr>
            <w:tcW w:w="2466" w:type="dxa"/>
            <w:vAlign w:val="center"/>
          </w:tcPr>
          <w:p>
            <w:pPr>
              <w:pStyle w:val="14"/>
            </w:pPr>
            <w:r>
              <w:t>冀财社[2021]159号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对服务对象进行调查满意度比率</w:t>
            </w:r>
          </w:p>
        </w:tc>
        <w:tc>
          <w:tcPr>
            <w:tcW w:w="2466" w:type="dxa"/>
            <w:vAlign w:val="center"/>
          </w:tcPr>
          <w:p>
            <w:pPr>
              <w:pStyle w:val="14"/>
            </w:pPr>
            <w:r>
              <w:t>≥95百分比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9、关于提前下达2022年中央专项彩票公益金支持城乡医疗救助资金预算的通知（冀财社[2021]150号）绩效目标表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1.科学确定救助对象范围，夯实医疗救助托底保障，健全防范和化解因病致返贫长效机制。强化基本医疗保险、大病保险、医疔救助三重制度综合保障，实事求是确定困难群众医疗保障待遇标准，确保困难群众基 本医疗有保障，不因罹患重特大疾病影响基本生活，同时避免过度保障。</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医疗救助对象人次规模</w:t>
            </w:r>
          </w:p>
        </w:tc>
        <w:tc>
          <w:tcPr>
            <w:tcW w:w="2466" w:type="dxa"/>
            <w:vAlign w:val="center"/>
          </w:tcPr>
          <w:p>
            <w:pPr>
              <w:pStyle w:val="14"/>
            </w:pPr>
            <w:r>
              <w:t>医疗救助对象人次规模</w:t>
            </w:r>
          </w:p>
          <w:p>
            <w:pPr>
              <w:pStyle w:val="14"/>
            </w:pPr>
          </w:p>
        </w:tc>
        <w:tc>
          <w:tcPr>
            <w:tcW w:w="2466" w:type="dxa"/>
            <w:vAlign w:val="center"/>
          </w:tcPr>
          <w:p>
            <w:pPr>
              <w:pStyle w:val="14"/>
            </w:pPr>
            <w:r>
              <w:t>符合救助条件的对象按 规定纳入救助范围</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符合资助条件的农村低收入人口资助参保政策履盖率</w:t>
            </w:r>
          </w:p>
          <w:p>
            <w:pPr>
              <w:pStyle w:val="14"/>
            </w:pPr>
          </w:p>
        </w:tc>
        <w:tc>
          <w:tcPr>
            <w:tcW w:w="2466" w:type="dxa"/>
            <w:vAlign w:val="center"/>
          </w:tcPr>
          <w:p>
            <w:pPr>
              <w:pStyle w:val="14"/>
            </w:pPr>
            <w:r>
              <w:t>符合资助条件的农村低收入人口资助参保政策履盖率</w:t>
            </w:r>
          </w:p>
        </w:tc>
        <w:tc>
          <w:tcPr>
            <w:tcW w:w="2466" w:type="dxa"/>
            <w:vAlign w:val="center"/>
          </w:tcPr>
          <w:p>
            <w:pPr>
              <w:pStyle w:val="14"/>
            </w:pPr>
            <w:r>
              <w:t>100百分比</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资金支出金额成本控制</w:t>
            </w:r>
          </w:p>
        </w:tc>
        <w:tc>
          <w:tcPr>
            <w:tcW w:w="2466" w:type="dxa"/>
            <w:vAlign w:val="center"/>
          </w:tcPr>
          <w:p>
            <w:pPr>
              <w:pStyle w:val="14"/>
            </w:pPr>
            <w:r>
              <w:t>资金支出金额成本控制</w:t>
            </w:r>
          </w:p>
          <w:p>
            <w:pPr>
              <w:pStyle w:val="14"/>
            </w:pPr>
          </w:p>
        </w:tc>
        <w:tc>
          <w:tcPr>
            <w:tcW w:w="2466" w:type="dxa"/>
            <w:vAlign w:val="center"/>
          </w:tcPr>
          <w:p>
            <w:pPr>
              <w:pStyle w:val="14"/>
            </w:pPr>
            <w:r>
              <w:t>≤7万元</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市域内“一站式”即时结算履盖率</w:t>
            </w:r>
          </w:p>
        </w:tc>
        <w:tc>
          <w:tcPr>
            <w:tcW w:w="2466" w:type="dxa"/>
            <w:vAlign w:val="center"/>
          </w:tcPr>
          <w:p>
            <w:pPr>
              <w:pStyle w:val="14"/>
            </w:pPr>
            <w:r>
              <w:t>市域内“一站式”即时结算履盖率</w:t>
            </w:r>
          </w:p>
        </w:tc>
        <w:tc>
          <w:tcPr>
            <w:tcW w:w="2466" w:type="dxa"/>
            <w:vAlign w:val="center"/>
          </w:tcPr>
          <w:p>
            <w:pPr>
              <w:pStyle w:val="14"/>
            </w:pPr>
            <w:r>
              <w:t>不低于上年</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医疗救助对象厦盖范围</w:t>
            </w:r>
          </w:p>
        </w:tc>
        <w:tc>
          <w:tcPr>
            <w:tcW w:w="2466" w:type="dxa"/>
            <w:vAlign w:val="center"/>
          </w:tcPr>
          <w:p>
            <w:pPr>
              <w:pStyle w:val="14"/>
            </w:pPr>
            <w:r>
              <w:t>医疗救助对象厦盖范围</w:t>
            </w:r>
          </w:p>
        </w:tc>
        <w:tc>
          <w:tcPr>
            <w:tcW w:w="2466" w:type="dxa"/>
            <w:vAlign w:val="center"/>
          </w:tcPr>
          <w:p>
            <w:pPr>
              <w:pStyle w:val="14"/>
            </w:pPr>
            <w:r>
              <w:t>稳步拓展</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困谁群众看病就医方便程度</w:t>
            </w:r>
          </w:p>
        </w:tc>
        <w:tc>
          <w:tcPr>
            <w:tcW w:w="2466" w:type="dxa"/>
            <w:vAlign w:val="center"/>
          </w:tcPr>
          <w:p>
            <w:pPr>
              <w:pStyle w:val="14"/>
            </w:pPr>
            <w:r>
              <w:t>困谁群众看病就医方便程度</w:t>
            </w:r>
          </w:p>
        </w:tc>
        <w:tc>
          <w:tcPr>
            <w:tcW w:w="2466" w:type="dxa"/>
            <w:vAlign w:val="center"/>
          </w:tcPr>
          <w:p>
            <w:pPr>
              <w:pStyle w:val="14"/>
            </w:pPr>
            <w:r>
              <w:t>明显提高</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困难群众医疗费用负担减轻程度</w:t>
            </w:r>
          </w:p>
        </w:tc>
        <w:tc>
          <w:tcPr>
            <w:tcW w:w="2466" w:type="dxa"/>
            <w:vAlign w:val="center"/>
          </w:tcPr>
          <w:p>
            <w:pPr>
              <w:pStyle w:val="14"/>
            </w:pPr>
            <w:r>
              <w:t>困难群众医疗费用负担减轻程度</w:t>
            </w:r>
          </w:p>
        </w:tc>
        <w:tc>
          <w:tcPr>
            <w:tcW w:w="2466" w:type="dxa"/>
            <w:vAlign w:val="center"/>
          </w:tcPr>
          <w:p>
            <w:pPr>
              <w:pStyle w:val="14"/>
            </w:pPr>
            <w:r>
              <w:t>有效缓解</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对健全社会救助体系的影响</w:t>
            </w:r>
          </w:p>
        </w:tc>
        <w:tc>
          <w:tcPr>
            <w:tcW w:w="2466" w:type="dxa"/>
            <w:vAlign w:val="center"/>
          </w:tcPr>
          <w:p>
            <w:pPr>
              <w:pStyle w:val="14"/>
            </w:pPr>
            <w:r>
              <w:t>对健全社会救助体系的影响</w:t>
            </w:r>
          </w:p>
        </w:tc>
        <w:tc>
          <w:tcPr>
            <w:tcW w:w="2466" w:type="dxa"/>
            <w:vAlign w:val="center"/>
          </w:tcPr>
          <w:p>
            <w:pPr>
              <w:pStyle w:val="14"/>
            </w:pPr>
            <w:r>
              <w:t>成效明显</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对健全医疗保障制度体系的作用</w:t>
            </w:r>
          </w:p>
        </w:tc>
        <w:tc>
          <w:tcPr>
            <w:tcW w:w="2466" w:type="dxa"/>
            <w:vAlign w:val="center"/>
          </w:tcPr>
          <w:p>
            <w:pPr>
              <w:pStyle w:val="14"/>
            </w:pPr>
            <w:r>
              <w:t>对健全医疗保障制度体系的作用</w:t>
            </w:r>
          </w:p>
          <w:p>
            <w:pPr>
              <w:pStyle w:val="14"/>
            </w:pPr>
          </w:p>
        </w:tc>
        <w:tc>
          <w:tcPr>
            <w:tcW w:w="2466" w:type="dxa"/>
            <w:vAlign w:val="center"/>
          </w:tcPr>
          <w:p>
            <w:pPr>
              <w:pStyle w:val="14"/>
            </w:pPr>
            <w:r>
              <w:t>成效明显</w:t>
            </w:r>
          </w:p>
        </w:tc>
        <w:tc>
          <w:tcPr>
            <w:tcW w:w="2466" w:type="dxa"/>
            <w:vAlign w:val="center"/>
          </w:tcPr>
          <w:p>
            <w:pPr>
              <w:pStyle w:val="14"/>
            </w:pPr>
            <w:r>
              <w:t>冀财社[2021]150号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对服务对象进行调查满意度比率</w:t>
            </w:r>
          </w:p>
        </w:tc>
        <w:tc>
          <w:tcPr>
            <w:tcW w:w="2466" w:type="dxa"/>
            <w:vAlign w:val="center"/>
          </w:tcPr>
          <w:p>
            <w:pPr>
              <w:pStyle w:val="14"/>
            </w:pPr>
            <w:r>
              <w:t>≥95百分比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10、基金监督检查经费绩效目标表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1.依据文件精神2022年计划抽查霸州市区域内的3家民营医院、5家乡镇卫生院、15家药店，检查其是否存在违法进行医保报销的情况。</w:t>
            </w:r>
            <w:r>
              <w:tab/>
            </w:r>
            <w:r>
              <w:tab/>
            </w:r>
            <w:r>
              <w:tab/>
            </w:r>
            <w:r>
              <w:tab/>
            </w:r>
            <w:r>
              <w:tab/>
            </w:r>
            <w:r>
              <w:tab/>
            </w:r>
            <w:r>
              <w:tab/>
            </w:r>
            <w:r>
              <w:tab/>
            </w:r>
          </w:p>
          <w:p>
            <w:pPr>
              <w:pStyle w:val="14"/>
            </w:pPr>
          </w:p>
          <w:p>
            <w:pPr>
              <w:pStyle w:val="14"/>
            </w:pPr>
            <w:r>
              <w:t>2.通过打击欺诈骗取医疗保障基金专项行动，遏制各种欺诈骗保行为，维护医疗保障基金安全，打击欺诈骗保行为。</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民营医院检查任务</w:t>
            </w:r>
          </w:p>
        </w:tc>
        <w:tc>
          <w:tcPr>
            <w:tcW w:w="2466" w:type="dxa"/>
            <w:vAlign w:val="center"/>
          </w:tcPr>
          <w:p>
            <w:pPr>
              <w:pStyle w:val="14"/>
            </w:pPr>
            <w:r>
              <w:t>抽查霸州市区域内的3家民营医院</w:t>
            </w:r>
          </w:p>
        </w:tc>
        <w:tc>
          <w:tcPr>
            <w:tcW w:w="2466" w:type="dxa"/>
            <w:vAlign w:val="center"/>
          </w:tcPr>
          <w:p>
            <w:pPr>
              <w:pStyle w:val="14"/>
            </w:pPr>
            <w:r>
              <w:t>≥3家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乡镇卫生院检查任务</w:t>
            </w:r>
          </w:p>
        </w:tc>
        <w:tc>
          <w:tcPr>
            <w:tcW w:w="2466" w:type="dxa"/>
            <w:vAlign w:val="center"/>
          </w:tcPr>
          <w:p>
            <w:pPr>
              <w:pStyle w:val="14"/>
            </w:pPr>
            <w:r>
              <w:t>抽查霸州市区域内的5家乡镇卫生院</w:t>
            </w:r>
          </w:p>
        </w:tc>
        <w:tc>
          <w:tcPr>
            <w:tcW w:w="2466" w:type="dxa"/>
            <w:vAlign w:val="center"/>
          </w:tcPr>
          <w:p>
            <w:pPr>
              <w:pStyle w:val="14"/>
            </w:pPr>
            <w:r>
              <w:t>≥5家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药店检查任务</w:t>
            </w:r>
          </w:p>
        </w:tc>
        <w:tc>
          <w:tcPr>
            <w:tcW w:w="2466" w:type="dxa"/>
            <w:vAlign w:val="center"/>
          </w:tcPr>
          <w:p>
            <w:pPr>
              <w:pStyle w:val="14"/>
            </w:pPr>
            <w:r>
              <w:t>抽查霸州市区域内的15家药店</w:t>
            </w:r>
          </w:p>
        </w:tc>
        <w:tc>
          <w:tcPr>
            <w:tcW w:w="2466" w:type="dxa"/>
            <w:vAlign w:val="center"/>
          </w:tcPr>
          <w:p>
            <w:pPr>
              <w:pStyle w:val="14"/>
            </w:pPr>
            <w:r>
              <w:t>≥15家</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服务协议签约率</w:t>
            </w:r>
          </w:p>
        </w:tc>
        <w:tc>
          <w:tcPr>
            <w:tcW w:w="2466" w:type="dxa"/>
            <w:vAlign w:val="center"/>
          </w:tcPr>
          <w:p>
            <w:pPr>
              <w:pStyle w:val="14"/>
            </w:pPr>
            <w:r>
              <w:t>与定点医药机构签订《河北省医疗保障定点医疗机构医疗服务协议》或《河北省医疗保障定点零售药店服务协议》的签订数量/域内定点医药机构的数量*100%</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资金使用的合规性</w:t>
            </w:r>
          </w:p>
        </w:tc>
        <w:tc>
          <w:tcPr>
            <w:tcW w:w="2466" w:type="dxa"/>
            <w:vAlign w:val="center"/>
          </w:tcPr>
          <w:p>
            <w:pPr>
              <w:pStyle w:val="14"/>
            </w:pPr>
            <w:r>
              <w:t xml:space="preserve">①是否符合国家财经法规和财务管理制度以及有关专项资金管理办法的规定；                                     </w:t>
            </w:r>
          </w:p>
          <w:p>
            <w:pPr>
              <w:pStyle w:val="14"/>
            </w:pPr>
            <w:r>
              <w:t xml:space="preserve">②资金的拨付是否有完整的审批程序和手续；               </w:t>
            </w:r>
          </w:p>
          <w:p>
            <w:pPr>
              <w:pStyle w:val="14"/>
            </w:pPr>
            <w:r>
              <w:t xml:space="preserve">③是否符合项目预算批复或合同规定的用途；              </w:t>
            </w:r>
          </w:p>
          <w:p>
            <w:pPr>
              <w:pStyle w:val="14"/>
            </w:pPr>
            <w:r>
              <w:t>④是否存在截留、挤占、挪用、虚列支出等情况。</w:t>
            </w:r>
          </w:p>
        </w:tc>
        <w:tc>
          <w:tcPr>
            <w:tcW w:w="2466" w:type="dxa"/>
            <w:vAlign w:val="center"/>
          </w:tcPr>
          <w:p>
            <w:pPr>
              <w:pStyle w:val="14"/>
            </w:pPr>
            <w:r>
              <w:t>合规</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各项检查完成时限</w:t>
            </w:r>
          </w:p>
        </w:tc>
        <w:tc>
          <w:tcPr>
            <w:tcW w:w="2466" w:type="dxa"/>
            <w:vAlign w:val="center"/>
          </w:tcPr>
          <w:p>
            <w:pPr>
              <w:pStyle w:val="14"/>
            </w:pPr>
            <w:r>
              <w:t>计划在11月底完成各项检查</w:t>
            </w:r>
          </w:p>
        </w:tc>
        <w:tc>
          <w:tcPr>
            <w:tcW w:w="2466" w:type="dxa"/>
            <w:vAlign w:val="center"/>
          </w:tcPr>
          <w:p>
            <w:pPr>
              <w:pStyle w:val="14"/>
            </w:pPr>
            <w:r>
              <w:t>≤11月</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资金成本控制</w:t>
            </w:r>
          </w:p>
        </w:tc>
        <w:tc>
          <w:tcPr>
            <w:tcW w:w="2466" w:type="dxa"/>
            <w:vAlign w:val="center"/>
          </w:tcPr>
          <w:p>
            <w:pPr>
              <w:pStyle w:val="14"/>
            </w:pPr>
            <w:r>
              <w:t>检查所需资金成本</w:t>
            </w:r>
          </w:p>
        </w:tc>
        <w:tc>
          <w:tcPr>
            <w:tcW w:w="2466" w:type="dxa"/>
            <w:vAlign w:val="center"/>
          </w:tcPr>
          <w:p>
            <w:pPr>
              <w:pStyle w:val="14"/>
            </w:pPr>
            <w:r>
              <w:t>≤18万元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提高智能监控的覆盖面和精准度</w:t>
            </w:r>
          </w:p>
        </w:tc>
        <w:tc>
          <w:tcPr>
            <w:tcW w:w="2466" w:type="dxa"/>
            <w:vAlign w:val="center"/>
          </w:tcPr>
          <w:p>
            <w:pPr>
              <w:pStyle w:val="14"/>
            </w:pPr>
            <w:r>
              <w:t>提高智能监控的覆盖面和精准度</w:t>
            </w:r>
          </w:p>
        </w:tc>
        <w:tc>
          <w:tcPr>
            <w:tcW w:w="2466" w:type="dxa"/>
            <w:vAlign w:val="center"/>
          </w:tcPr>
          <w:p>
            <w:pPr>
              <w:pStyle w:val="14"/>
            </w:pPr>
            <w:r>
              <w:t>有效提高</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调查医药机构的满意度</w:t>
            </w:r>
          </w:p>
        </w:tc>
        <w:tc>
          <w:tcPr>
            <w:tcW w:w="2466" w:type="dxa"/>
            <w:vAlign w:val="center"/>
          </w:tcPr>
          <w:p>
            <w:pPr>
              <w:pStyle w:val="14"/>
            </w:pPr>
            <w:r>
              <w:t>调查医药机构的满意度</w:t>
            </w:r>
          </w:p>
        </w:tc>
        <w:tc>
          <w:tcPr>
            <w:tcW w:w="2466" w:type="dxa"/>
            <w:vAlign w:val="center"/>
          </w:tcPr>
          <w:p>
            <w:pPr>
              <w:pStyle w:val="14"/>
            </w:pPr>
            <w:r>
              <w:t>≥95百分比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11、新冠疫苗及接种费用县级财政补助资金绩效目标表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1.财政资金补助医保基金新冠病毒疫苗及接种费用</w:t>
            </w:r>
            <w:r>
              <w:tab/>
            </w:r>
            <w:r>
              <w:tab/>
            </w:r>
            <w:r>
              <w:tab/>
            </w:r>
            <w:r>
              <w:tab/>
            </w:r>
            <w:r>
              <w:tab/>
            </w:r>
            <w:r>
              <w:tab/>
            </w:r>
          </w:p>
          <w:p>
            <w:pPr>
              <w:pStyle w:val="14"/>
            </w:pPr>
          </w:p>
          <w:p>
            <w:pPr>
              <w:pStyle w:val="14"/>
            </w:pPr>
            <w:r>
              <w:t>2.实现全民免费接种新冠疫苗，确保人民群众生命健康，促进医保基金长期可持续运行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接种人次数</w:t>
            </w:r>
          </w:p>
        </w:tc>
        <w:tc>
          <w:tcPr>
            <w:tcW w:w="2466" w:type="dxa"/>
            <w:vAlign w:val="center"/>
          </w:tcPr>
          <w:p>
            <w:pPr>
              <w:pStyle w:val="14"/>
            </w:pPr>
            <w:r>
              <w:t>符合医保基金负担范围内接种人次数</w:t>
            </w:r>
          </w:p>
        </w:tc>
        <w:tc>
          <w:tcPr>
            <w:tcW w:w="2466" w:type="dxa"/>
            <w:vAlign w:val="center"/>
          </w:tcPr>
          <w:p>
            <w:pPr>
              <w:pStyle w:val="14"/>
            </w:pPr>
            <w:r>
              <w:t>≥910693人次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接种率</w:t>
            </w:r>
          </w:p>
        </w:tc>
        <w:tc>
          <w:tcPr>
            <w:tcW w:w="2466" w:type="dxa"/>
            <w:vAlign w:val="center"/>
          </w:tcPr>
          <w:p>
            <w:pPr>
              <w:pStyle w:val="14"/>
            </w:pPr>
            <w:r>
              <w:t>按人次接种比例</w:t>
            </w:r>
          </w:p>
        </w:tc>
        <w:tc>
          <w:tcPr>
            <w:tcW w:w="2466" w:type="dxa"/>
            <w:vAlign w:val="center"/>
          </w:tcPr>
          <w:p>
            <w:pPr>
              <w:pStyle w:val="14"/>
            </w:pPr>
            <w:r>
              <w:t>≥90%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支付及时性</w:t>
            </w:r>
          </w:p>
        </w:tc>
        <w:tc>
          <w:tcPr>
            <w:tcW w:w="2466" w:type="dxa"/>
            <w:vAlign w:val="center"/>
          </w:tcPr>
          <w:p>
            <w:pPr>
              <w:pStyle w:val="14"/>
            </w:pPr>
            <w:r>
              <w:t>按照文件要求及时拨付款项</w:t>
            </w:r>
          </w:p>
        </w:tc>
        <w:tc>
          <w:tcPr>
            <w:tcW w:w="2466" w:type="dxa"/>
            <w:vAlign w:val="center"/>
          </w:tcPr>
          <w:p>
            <w:pPr>
              <w:pStyle w:val="14"/>
            </w:pPr>
            <w:r>
              <w:t>≤3月底前</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总成本</w:t>
            </w:r>
          </w:p>
        </w:tc>
        <w:tc>
          <w:tcPr>
            <w:tcW w:w="2466" w:type="dxa"/>
            <w:vAlign w:val="center"/>
          </w:tcPr>
          <w:p>
            <w:pPr>
              <w:pStyle w:val="14"/>
            </w:pPr>
            <w:r>
              <w:t>项目总成本</w:t>
            </w:r>
          </w:p>
        </w:tc>
        <w:tc>
          <w:tcPr>
            <w:tcW w:w="2466" w:type="dxa"/>
            <w:vAlign w:val="center"/>
          </w:tcPr>
          <w:p>
            <w:pPr>
              <w:pStyle w:val="14"/>
            </w:pPr>
            <w:r>
              <w:t>≤590.22万元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实现全民免费接种新冠疫苗</w:t>
            </w:r>
          </w:p>
        </w:tc>
        <w:tc>
          <w:tcPr>
            <w:tcW w:w="2466" w:type="dxa"/>
            <w:vAlign w:val="center"/>
          </w:tcPr>
          <w:p>
            <w:pPr>
              <w:pStyle w:val="14"/>
            </w:pPr>
            <w:r>
              <w:t>对本市域内定点接种机构接种人群实行免费接种</w:t>
            </w:r>
          </w:p>
        </w:tc>
        <w:tc>
          <w:tcPr>
            <w:tcW w:w="2466" w:type="dxa"/>
            <w:vAlign w:val="center"/>
          </w:tcPr>
          <w:p>
            <w:pPr>
              <w:pStyle w:val="14"/>
            </w:pPr>
            <w:r>
              <w:t>有所提升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群众对提供各种政务等服务的满意程度</w:t>
            </w:r>
          </w:p>
        </w:tc>
        <w:tc>
          <w:tcPr>
            <w:tcW w:w="2466" w:type="dxa"/>
            <w:vAlign w:val="center"/>
          </w:tcPr>
          <w:p>
            <w:pPr>
              <w:pStyle w:val="14"/>
            </w:pPr>
            <w:r>
              <w:t>群众对提供各种政务等服务的满意程度</w:t>
            </w:r>
          </w:p>
        </w:tc>
        <w:tc>
          <w:tcPr>
            <w:tcW w:w="2466" w:type="dxa"/>
            <w:vAlign w:val="center"/>
          </w:tcPr>
          <w:p>
            <w:pPr>
              <w:pStyle w:val="14"/>
            </w:pPr>
            <w:r>
              <w:t>≥95%</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12、医疗救助补助资金绩效目标表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1.征缴期内困难群众全部参加城乡居民医疗保险。</w:t>
            </w:r>
          </w:p>
          <w:p>
            <w:pPr>
              <w:pStyle w:val="14"/>
            </w:pPr>
            <w:r>
              <w:t>2.根据霸州市民政局《关于进一步做好城乡医疗救助工作的通知》（霸民[2015]21号）要求，我市救助范围达到100%。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医疗救助申报覆盖率</w:t>
            </w:r>
          </w:p>
        </w:tc>
        <w:tc>
          <w:tcPr>
            <w:tcW w:w="2466" w:type="dxa"/>
            <w:vAlign w:val="center"/>
          </w:tcPr>
          <w:p>
            <w:pPr>
              <w:pStyle w:val="14"/>
            </w:pPr>
            <w:r>
              <w:t>医疗救助申报覆盖率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参保资助率（%）</w:t>
            </w:r>
          </w:p>
        </w:tc>
        <w:tc>
          <w:tcPr>
            <w:tcW w:w="2466" w:type="dxa"/>
            <w:vAlign w:val="center"/>
          </w:tcPr>
          <w:p>
            <w:pPr>
              <w:pStyle w:val="14"/>
            </w:pPr>
            <w:r>
              <w:t>参保资助率（%）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资金拨付到救助者手里的及时率</w:t>
            </w:r>
          </w:p>
        </w:tc>
        <w:tc>
          <w:tcPr>
            <w:tcW w:w="2466" w:type="dxa"/>
            <w:vAlign w:val="center"/>
          </w:tcPr>
          <w:p>
            <w:pPr>
              <w:pStyle w:val="14"/>
            </w:pPr>
            <w:r>
              <w:t>≥97百分比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补助金额总量</w:t>
            </w:r>
          </w:p>
        </w:tc>
        <w:tc>
          <w:tcPr>
            <w:tcW w:w="2466" w:type="dxa"/>
            <w:vAlign w:val="center"/>
          </w:tcPr>
          <w:p>
            <w:pPr>
              <w:pStyle w:val="14"/>
            </w:pPr>
            <w:r>
              <w:t>医疗救助县级补助金额总量</w:t>
            </w:r>
          </w:p>
        </w:tc>
        <w:tc>
          <w:tcPr>
            <w:tcW w:w="2466" w:type="dxa"/>
            <w:vAlign w:val="center"/>
          </w:tcPr>
          <w:p>
            <w:pPr>
              <w:pStyle w:val="14"/>
            </w:pPr>
            <w:r>
              <w:t>≤900万</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困难群众参保保证率</w:t>
            </w:r>
          </w:p>
        </w:tc>
        <w:tc>
          <w:tcPr>
            <w:tcW w:w="2466" w:type="dxa"/>
            <w:vAlign w:val="center"/>
          </w:tcPr>
          <w:p>
            <w:pPr>
              <w:pStyle w:val="14"/>
            </w:pPr>
            <w:r>
              <w:t>困难群众参保保证率</w:t>
            </w:r>
          </w:p>
        </w:tc>
        <w:tc>
          <w:tcPr>
            <w:tcW w:w="2466" w:type="dxa"/>
            <w:vAlign w:val="center"/>
          </w:tcPr>
          <w:p>
            <w:pPr>
              <w:pStyle w:val="14"/>
            </w:pPr>
            <w:r>
              <w:t>100百分比</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接受救济对象的满意度（%）</w:t>
            </w:r>
          </w:p>
        </w:tc>
        <w:tc>
          <w:tcPr>
            <w:tcW w:w="2466" w:type="dxa"/>
            <w:vAlign w:val="center"/>
          </w:tcPr>
          <w:p>
            <w:pPr>
              <w:pStyle w:val="14"/>
            </w:pPr>
            <w:r>
              <w:t>对接受救济对象的调查满意度（%）</w:t>
            </w:r>
          </w:p>
        </w:tc>
        <w:tc>
          <w:tcPr>
            <w:tcW w:w="2466" w:type="dxa"/>
            <w:vAlign w:val="center"/>
          </w:tcPr>
          <w:p>
            <w:pPr>
              <w:pStyle w:val="14"/>
            </w:pPr>
            <w:r>
              <w:t>≥95百分比</w:t>
            </w:r>
          </w:p>
        </w:tc>
        <w:tc>
          <w:tcPr>
            <w:tcW w:w="2466" w:type="dxa"/>
            <w:vAlign w:val="center"/>
          </w:tcPr>
          <w:p>
            <w:pPr>
              <w:pStyle w:val="14"/>
            </w:pPr>
            <w:r>
              <w:t>计划标准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2022年，霸州市医疗保障局安排政府采购预算0.00万元。具体内容见下表。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807霸州市医疗保障局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霸州市医疗保障局（含所属单位）上年末固定资产金额为</w:t>
      </w:r>
      <w:r>
        <w:rPr>
          <w:rFonts w:hint="eastAsia" w:eastAsia="方正仿宋_GBK" w:cs="Times New Roman"/>
          <w:b w:val="0"/>
          <w:color w:val="000000"/>
          <w:sz w:val="28"/>
          <w:lang w:val="en-US" w:eastAsia="zh-CN"/>
        </w:rPr>
        <w:t>438.54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tbl>
      <w:tblPr>
        <w:tblStyle w:val="7"/>
        <w:tblW w:w="13417" w:type="dxa"/>
        <w:tblInd w:w="158" w:type="dxa"/>
        <w:tblLayout w:type="fixed"/>
        <w:tblCellMar>
          <w:top w:w="0" w:type="dxa"/>
          <w:left w:w="108" w:type="dxa"/>
          <w:bottom w:w="0" w:type="dxa"/>
          <w:right w:w="108" w:type="dxa"/>
        </w:tblCellMar>
      </w:tblPr>
      <w:tblGrid>
        <w:gridCol w:w="5159"/>
        <w:gridCol w:w="3155"/>
        <w:gridCol w:w="5103"/>
      </w:tblGrid>
      <w:tr>
        <w:tblPrEx>
          <w:tblLayout w:type="fixed"/>
          <w:tblCellMar>
            <w:top w:w="0" w:type="dxa"/>
            <w:left w:w="108" w:type="dxa"/>
            <w:bottom w:w="0" w:type="dxa"/>
            <w:right w:w="108" w:type="dxa"/>
          </w:tblCellMar>
        </w:tblPrEx>
        <w:trPr>
          <w:trHeight w:val="705" w:hRule="atLeast"/>
        </w:trPr>
        <w:tc>
          <w:tcPr>
            <w:tcW w:w="13417"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医疗保障局</w:t>
            </w:r>
            <w:r>
              <w:rPr>
                <w:rFonts w:hint="eastAsia" w:ascii="宋体" w:hAnsi="宋体" w:eastAsia="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14"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color w:val="auto"/>
                <w:kern w:val="0"/>
                <w:sz w:val="22"/>
                <w:highlight w:val="none"/>
                <w:shd w:val="clear" w:color="auto" w:fill="auto"/>
                <w:lang w:val="en-US" w:eastAsia="zh-CN"/>
              </w:rPr>
              <w:t>807</w:t>
            </w:r>
            <w:r>
              <w:rPr>
                <w:rFonts w:hint="eastAsia" w:ascii="宋体" w:hAnsi="宋体" w:eastAsia="宋体" w:cs="宋体"/>
                <w:kern w:val="0"/>
                <w:sz w:val="22"/>
              </w:rPr>
              <w:t>霸州市</w:t>
            </w:r>
            <w:r>
              <w:rPr>
                <w:rFonts w:hint="eastAsia" w:ascii="宋体" w:hAnsi="宋体" w:eastAsia="宋体" w:cs="宋体"/>
                <w:kern w:val="0"/>
                <w:sz w:val="22"/>
                <w:lang w:eastAsia="zh-CN"/>
              </w:rPr>
              <w:t>医疗保障局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21</w:t>
            </w:r>
            <w:r>
              <w:rPr>
                <w:rFonts w:hint="eastAsia" w:ascii="宋体" w:hAnsi="宋体" w:eastAsia="宋体" w:cs="宋体"/>
                <w:kern w:val="0"/>
                <w:sz w:val="22"/>
              </w:rPr>
              <w:t xml:space="preserve">年12月31日  </w:t>
            </w:r>
          </w:p>
        </w:tc>
      </w:tr>
      <w:tr>
        <w:tblPrEx>
          <w:tblLayout w:type="fixed"/>
          <w:tblCellMar>
            <w:top w:w="0" w:type="dxa"/>
            <w:left w:w="108" w:type="dxa"/>
            <w:bottom w:w="0" w:type="dxa"/>
            <w:right w:w="108" w:type="dxa"/>
          </w:tblCellMar>
        </w:tblPrEx>
        <w:trPr>
          <w:trHeight w:val="478" w:hRule="atLeast"/>
        </w:trPr>
        <w:tc>
          <w:tcPr>
            <w:tcW w:w="515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pPr>
            <w:r>
              <w:rPr>
                <w:rFonts w:hint="eastAsia"/>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pStyle w:val="14"/>
              <w:jc w:val="center"/>
            </w:pPr>
            <w:r>
              <w:rPr>
                <w:rFonts w:hint="eastAsia"/>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pStyle w:val="14"/>
              <w:jc w:val="center"/>
            </w:pPr>
            <w:r>
              <w:rPr>
                <w:rFonts w:hint="eastAsia"/>
              </w:rPr>
              <w:t>价值（金额单位：万元）</w:t>
            </w:r>
          </w:p>
        </w:tc>
      </w:tr>
      <w:tr>
        <w:tblPrEx>
          <w:tblLayout w:type="fixed"/>
          <w:tblCellMar>
            <w:top w:w="0" w:type="dxa"/>
            <w:left w:w="108" w:type="dxa"/>
            <w:bottom w:w="0" w:type="dxa"/>
            <w:right w:w="108" w:type="dxa"/>
          </w:tblCellMar>
        </w:tblPrEx>
        <w:trPr>
          <w:trHeight w:val="543" w:hRule="atLeast"/>
        </w:trPr>
        <w:tc>
          <w:tcPr>
            <w:tcW w:w="5159" w:type="dxa"/>
            <w:tcBorders>
              <w:top w:val="nil"/>
              <w:left w:val="single" w:color="auto" w:sz="4" w:space="0"/>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rPr>
              <w:t>资产总额</w:t>
            </w:r>
          </w:p>
        </w:tc>
        <w:tc>
          <w:tcPr>
            <w:tcW w:w="3155" w:type="dxa"/>
            <w:tcBorders>
              <w:top w:val="nil"/>
              <w:left w:val="nil"/>
              <w:bottom w:val="single" w:color="auto" w:sz="4" w:space="0"/>
              <w:right w:val="single" w:color="auto" w:sz="4" w:space="0"/>
            </w:tcBorders>
            <w:shd w:val="clear" w:color="auto" w:fill="auto"/>
            <w:noWrap/>
            <w:vAlign w:val="center"/>
          </w:tcPr>
          <w:p>
            <w:pPr>
              <w:pStyle w:val="14"/>
              <w:jc w:val="center"/>
            </w:pPr>
            <w:r>
              <w:rPr>
                <w:rFonts w:hint="eastAsia"/>
              </w:rPr>
              <w:t>——</w:t>
            </w:r>
          </w:p>
        </w:tc>
        <w:tc>
          <w:tcPr>
            <w:tcW w:w="5103"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438.54</w:t>
            </w:r>
          </w:p>
        </w:tc>
      </w:tr>
      <w:tr>
        <w:tblPrEx>
          <w:tblLayout w:type="fixed"/>
          <w:tblCellMar>
            <w:top w:w="0" w:type="dxa"/>
            <w:left w:w="108" w:type="dxa"/>
            <w:bottom w:w="0" w:type="dxa"/>
            <w:right w:w="108" w:type="dxa"/>
          </w:tblCellMar>
        </w:tblPrEx>
        <w:trPr>
          <w:trHeight w:val="578" w:hRule="atLeast"/>
        </w:trPr>
        <w:tc>
          <w:tcPr>
            <w:tcW w:w="5159" w:type="dxa"/>
            <w:tcBorders>
              <w:top w:val="nil"/>
              <w:left w:val="single" w:color="auto" w:sz="4" w:space="0"/>
              <w:bottom w:val="single" w:color="auto" w:sz="4" w:space="0"/>
              <w:right w:val="single" w:color="auto" w:sz="4" w:space="0"/>
            </w:tcBorders>
            <w:shd w:val="clear" w:color="auto" w:fill="auto"/>
            <w:noWrap/>
            <w:vAlign w:val="center"/>
          </w:tcPr>
          <w:p>
            <w:pPr>
              <w:pStyle w:val="14"/>
            </w:pPr>
            <w:r>
              <w:rPr>
                <w:rFonts w:hint="eastAsia"/>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966</w:t>
            </w:r>
          </w:p>
        </w:tc>
        <w:tc>
          <w:tcPr>
            <w:tcW w:w="5103"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127.61</w:t>
            </w:r>
          </w:p>
        </w:tc>
      </w:tr>
      <w:tr>
        <w:tblPrEx>
          <w:tblLayout w:type="fixed"/>
          <w:tblCellMar>
            <w:top w:w="0" w:type="dxa"/>
            <w:left w:w="108" w:type="dxa"/>
            <w:bottom w:w="0" w:type="dxa"/>
            <w:right w:w="108" w:type="dxa"/>
          </w:tblCellMar>
        </w:tblPrEx>
        <w:trPr>
          <w:trHeight w:val="543" w:hRule="atLeast"/>
        </w:trPr>
        <w:tc>
          <w:tcPr>
            <w:tcW w:w="5159" w:type="dxa"/>
            <w:tcBorders>
              <w:top w:val="nil"/>
              <w:left w:val="single" w:color="auto" w:sz="4" w:space="0"/>
              <w:bottom w:val="single" w:color="auto" w:sz="4" w:space="0"/>
              <w:right w:val="single" w:color="auto" w:sz="4" w:space="0"/>
            </w:tcBorders>
            <w:shd w:val="clear" w:color="auto" w:fill="auto"/>
            <w:noWrap/>
            <w:vAlign w:val="center"/>
          </w:tcPr>
          <w:p>
            <w:pPr>
              <w:pStyle w:val="14"/>
            </w:pPr>
            <w:r>
              <w:rPr>
                <w:rFonts w:hint="eastAsia"/>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966</w:t>
            </w:r>
          </w:p>
        </w:tc>
        <w:tc>
          <w:tcPr>
            <w:tcW w:w="5103"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127.61</w:t>
            </w:r>
          </w:p>
        </w:tc>
      </w:tr>
      <w:tr>
        <w:tblPrEx>
          <w:tblLayout w:type="fixed"/>
          <w:tblCellMar>
            <w:top w:w="0" w:type="dxa"/>
            <w:left w:w="108" w:type="dxa"/>
            <w:bottom w:w="0" w:type="dxa"/>
            <w:right w:w="108" w:type="dxa"/>
          </w:tblCellMar>
        </w:tblPrEx>
        <w:trPr>
          <w:trHeight w:val="566" w:hRule="atLeast"/>
        </w:trPr>
        <w:tc>
          <w:tcPr>
            <w:tcW w:w="5159" w:type="dxa"/>
            <w:tcBorders>
              <w:top w:val="nil"/>
              <w:left w:val="single" w:color="auto" w:sz="4" w:space="0"/>
              <w:bottom w:val="single" w:color="auto" w:sz="4" w:space="0"/>
              <w:right w:val="single" w:color="auto" w:sz="4" w:space="0"/>
            </w:tcBorders>
            <w:shd w:val="clear" w:color="auto" w:fill="auto"/>
            <w:noWrap/>
            <w:vAlign w:val="center"/>
          </w:tcPr>
          <w:p>
            <w:pPr>
              <w:pStyle w:val="14"/>
            </w:pPr>
            <w:r>
              <w:rPr>
                <w:rFonts w:hint="eastAsia"/>
              </w:rPr>
              <w:t>2、车辆（台、辆）</w:t>
            </w:r>
          </w:p>
        </w:tc>
        <w:tc>
          <w:tcPr>
            <w:tcW w:w="3155"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4</w:t>
            </w:r>
          </w:p>
        </w:tc>
        <w:tc>
          <w:tcPr>
            <w:tcW w:w="5103"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58.68</w:t>
            </w:r>
          </w:p>
        </w:tc>
      </w:tr>
      <w:tr>
        <w:tblPrEx>
          <w:tblLayout w:type="fixed"/>
          <w:tblCellMar>
            <w:top w:w="0" w:type="dxa"/>
            <w:left w:w="108" w:type="dxa"/>
            <w:bottom w:w="0" w:type="dxa"/>
            <w:right w:w="108" w:type="dxa"/>
          </w:tblCellMar>
        </w:tblPrEx>
        <w:trPr>
          <w:trHeight w:val="546" w:hRule="atLeast"/>
        </w:trPr>
        <w:tc>
          <w:tcPr>
            <w:tcW w:w="5159" w:type="dxa"/>
            <w:tcBorders>
              <w:top w:val="nil"/>
              <w:left w:val="single" w:color="auto" w:sz="4" w:space="0"/>
              <w:bottom w:val="single" w:color="auto" w:sz="4" w:space="0"/>
              <w:right w:val="single" w:color="auto" w:sz="4" w:space="0"/>
            </w:tcBorders>
            <w:shd w:val="clear" w:color="auto" w:fill="auto"/>
            <w:vAlign w:val="center"/>
          </w:tcPr>
          <w:p>
            <w:pPr>
              <w:pStyle w:val="14"/>
              <w:rPr>
                <w:rFonts w:hint="eastAsia"/>
                <w:lang w:eastAsia="zh-CN"/>
              </w:rPr>
            </w:pPr>
            <w:r>
              <w:rPr>
                <w:rFonts w:hint="eastAsia"/>
              </w:rPr>
              <w:t>3、</w:t>
            </w:r>
            <w:r>
              <w:rPr>
                <w:rFonts w:hint="eastAsia"/>
                <w:lang w:eastAsia="zh-CN"/>
              </w:rPr>
              <w:t>通用设备</w:t>
            </w:r>
          </w:p>
        </w:tc>
        <w:tc>
          <w:tcPr>
            <w:tcW w:w="3155" w:type="dxa"/>
            <w:tcBorders>
              <w:top w:val="nil"/>
              <w:left w:val="nil"/>
              <w:bottom w:val="single" w:color="auto" w:sz="4" w:space="0"/>
              <w:right w:val="single" w:color="auto" w:sz="4" w:space="0"/>
            </w:tcBorders>
            <w:shd w:val="clear" w:color="auto" w:fill="auto"/>
            <w:noWrap/>
            <w:vAlign w:val="center"/>
          </w:tcPr>
          <w:p>
            <w:pPr>
              <w:pStyle w:val="14"/>
              <w:jc w:val="center"/>
              <w:rPr>
                <w:rFonts w:hint="eastAsia" w:eastAsia="方正书宋_GBK"/>
                <w:lang w:val="en-US" w:eastAsia="zh-CN"/>
              </w:rPr>
            </w:pPr>
            <w:r>
              <w:rPr>
                <w:rFonts w:hint="eastAsia"/>
              </w:rPr>
              <w:t>——</w:t>
            </w:r>
          </w:p>
        </w:tc>
        <w:tc>
          <w:tcPr>
            <w:tcW w:w="5103"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218.92</w:t>
            </w:r>
          </w:p>
        </w:tc>
      </w:tr>
      <w:tr>
        <w:tblPrEx>
          <w:tblLayout w:type="fixed"/>
          <w:tblCellMar>
            <w:top w:w="0" w:type="dxa"/>
            <w:left w:w="108" w:type="dxa"/>
            <w:bottom w:w="0" w:type="dxa"/>
            <w:right w:w="108" w:type="dxa"/>
          </w:tblCellMar>
        </w:tblPrEx>
        <w:trPr>
          <w:trHeight w:val="645" w:hRule="atLeast"/>
        </w:trPr>
        <w:tc>
          <w:tcPr>
            <w:tcW w:w="5159" w:type="dxa"/>
            <w:tcBorders>
              <w:top w:val="nil"/>
              <w:left w:val="single" w:color="auto" w:sz="4" w:space="0"/>
              <w:bottom w:val="single" w:color="auto" w:sz="4" w:space="0"/>
              <w:right w:val="single" w:color="auto" w:sz="4" w:space="0"/>
            </w:tcBorders>
            <w:shd w:val="clear" w:color="auto" w:fill="auto"/>
            <w:noWrap/>
            <w:vAlign w:val="center"/>
          </w:tcPr>
          <w:p>
            <w:pPr>
              <w:pStyle w:val="14"/>
              <w:rPr>
                <w:rFonts w:hint="eastAsia"/>
                <w:lang w:eastAsia="zh-CN"/>
              </w:rPr>
            </w:pPr>
            <w:r>
              <w:rPr>
                <w:rFonts w:hint="eastAsia"/>
              </w:rPr>
              <w:t>4、</w:t>
            </w:r>
            <w:r>
              <w:rPr>
                <w:rFonts w:hint="eastAsia"/>
                <w:lang w:eastAsia="zh-CN"/>
              </w:rPr>
              <w:t>家具、用具、装具及动植物</w:t>
            </w:r>
          </w:p>
        </w:tc>
        <w:tc>
          <w:tcPr>
            <w:tcW w:w="3155" w:type="dxa"/>
            <w:tcBorders>
              <w:top w:val="nil"/>
              <w:left w:val="nil"/>
              <w:bottom w:val="single" w:color="auto" w:sz="4" w:space="0"/>
              <w:right w:val="single" w:color="auto" w:sz="4" w:space="0"/>
            </w:tcBorders>
            <w:shd w:val="clear" w:color="auto" w:fill="auto"/>
            <w:noWrap/>
            <w:vAlign w:val="center"/>
          </w:tcPr>
          <w:p>
            <w:pPr>
              <w:pStyle w:val="14"/>
              <w:jc w:val="center"/>
            </w:pPr>
            <w:r>
              <w:rPr>
                <w:rFonts w:hint="eastAsia"/>
              </w:rPr>
              <w:t>——</w:t>
            </w:r>
          </w:p>
        </w:tc>
        <w:tc>
          <w:tcPr>
            <w:tcW w:w="5103" w:type="dxa"/>
            <w:tcBorders>
              <w:top w:val="nil"/>
              <w:left w:val="nil"/>
              <w:bottom w:val="single" w:color="auto" w:sz="4" w:space="0"/>
              <w:right w:val="single" w:color="auto" w:sz="4" w:space="0"/>
            </w:tcBorders>
            <w:shd w:val="clear" w:color="auto" w:fill="auto"/>
            <w:noWrap/>
            <w:vAlign w:val="center"/>
          </w:tcPr>
          <w:p>
            <w:pPr>
              <w:pStyle w:val="14"/>
              <w:jc w:val="center"/>
              <w:rPr>
                <w:rFonts w:hint="eastAsia"/>
                <w:lang w:val="en-US" w:eastAsia="zh-CN"/>
              </w:rPr>
            </w:pPr>
            <w:r>
              <w:rPr>
                <w:rFonts w:hint="eastAsia"/>
                <w:lang w:val="en-US" w:eastAsia="zh-CN"/>
              </w:rPr>
              <w:t>33.33</w:t>
            </w:r>
          </w:p>
        </w:tc>
      </w:tr>
    </w:tbl>
    <w:p>
      <w:pPr>
        <w:spacing w:before="0" w:after="0"/>
        <w:ind w:firstLine="640"/>
        <w:jc w:val="left"/>
        <w:outlineLvl w:val="9"/>
      </w:pP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w:t>
      </w:r>
      <w:bookmarkStart w:id="18" w:name="_GoBack"/>
      <w:bookmarkEnd w:id="18"/>
      <w:r>
        <w:rPr>
          <w:rFonts w:ascii="Times New Roman" w:hAnsi="Times New Roman" w:eastAsia="方正仿宋_GBK" w:cs="Times New Roman"/>
          <w:b w:val="0"/>
          <w:color w:val="000000"/>
          <w:sz w:val="28"/>
        </w:rPr>
        <w:t>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560" w:firstLineChars="200"/>
        <w:jc w:val="both"/>
        <w:outlineLvl w:val="9"/>
        <w:rPr>
          <w:rFonts w:hint="eastAsia"/>
          <w:lang w:val="en-US"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A7580"/>
    <w:multiLevelType w:val="singleLevel"/>
    <w:tmpl w:val="AC7A75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BB7787"/>
    <w:rsid w:val="09E9732D"/>
    <w:rsid w:val="0AF64DE2"/>
    <w:rsid w:val="0B2A14CA"/>
    <w:rsid w:val="0BE030A4"/>
    <w:rsid w:val="0BE51E2D"/>
    <w:rsid w:val="0DDD565B"/>
    <w:rsid w:val="0E4E1BCD"/>
    <w:rsid w:val="0E8A0C51"/>
    <w:rsid w:val="0F460DDB"/>
    <w:rsid w:val="13D4596D"/>
    <w:rsid w:val="14C80FB2"/>
    <w:rsid w:val="15320654"/>
    <w:rsid w:val="17F83F2B"/>
    <w:rsid w:val="1A094DC9"/>
    <w:rsid w:val="1A311F77"/>
    <w:rsid w:val="1C352CDA"/>
    <w:rsid w:val="1D8067A6"/>
    <w:rsid w:val="1DC345F0"/>
    <w:rsid w:val="1FC05DC7"/>
    <w:rsid w:val="1FE10F39"/>
    <w:rsid w:val="219D329C"/>
    <w:rsid w:val="252A26BA"/>
    <w:rsid w:val="25E7258F"/>
    <w:rsid w:val="26E9221C"/>
    <w:rsid w:val="2828719B"/>
    <w:rsid w:val="295B38C2"/>
    <w:rsid w:val="2C5A2A65"/>
    <w:rsid w:val="2F0E6529"/>
    <w:rsid w:val="332539DF"/>
    <w:rsid w:val="33B876C1"/>
    <w:rsid w:val="35872F71"/>
    <w:rsid w:val="3C3C587B"/>
    <w:rsid w:val="3F817FBD"/>
    <w:rsid w:val="46400849"/>
    <w:rsid w:val="465B4FC8"/>
    <w:rsid w:val="47A56D9D"/>
    <w:rsid w:val="4A801427"/>
    <w:rsid w:val="4AA714CD"/>
    <w:rsid w:val="4DB86F10"/>
    <w:rsid w:val="4DD50E8C"/>
    <w:rsid w:val="510743F5"/>
    <w:rsid w:val="53292D99"/>
    <w:rsid w:val="558A112F"/>
    <w:rsid w:val="58895812"/>
    <w:rsid w:val="58B42D9A"/>
    <w:rsid w:val="59C64FF2"/>
    <w:rsid w:val="5D7A14DC"/>
    <w:rsid w:val="5DAB1863"/>
    <w:rsid w:val="60FA21F1"/>
    <w:rsid w:val="62645214"/>
    <w:rsid w:val="659C6E6A"/>
    <w:rsid w:val="660008C7"/>
    <w:rsid w:val="6C541736"/>
    <w:rsid w:val="6C682CAB"/>
    <w:rsid w:val="6D5A5189"/>
    <w:rsid w:val="704A09B5"/>
    <w:rsid w:val="74F4237F"/>
    <w:rsid w:val="76C37EF1"/>
    <w:rsid w:val="7844574B"/>
    <w:rsid w:val="78817763"/>
    <w:rsid w:val="7BE13AFD"/>
    <w:rsid w:val="7DCA1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2022-03-04T10:05:56Z</dcterms:created>
  <dcterms:modified xsi:type="dcterms:W3CDTF">2022-03-04T02:05:56Z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2022-03-04T10:05:57Z</dcterms:created>
  <dcterms:modified xsi:type="dcterms:W3CDTF">2022-03-04T02:05:57Z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2022-03-04T10:05:55Z</dcterms:created>
  <dcterms:modified xsi:type="dcterms:W3CDTF">2022-03-04T02:05:55Z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2022-03-04T10:06:00Z</dcterms:created>
  <dcterms:modified xsi:type="dcterms:W3CDTF">2022-03-04T02:05:59Z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2022-03-04T10:05:55Z</dcterms:created>
  <dcterms:modified xsi:type="dcterms:W3CDTF">2022-03-04T02:05:55Z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2022-03-04T10:06:01Z</dcterms:created>
  <dcterms:modified xsi:type="dcterms:W3CDTF">2022-03-04T02:06:01Z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2022-03-04T10:06:01Z</dcterms:created>
  <dcterms:modified xsi:type="dcterms:W3CDTF">2022-03-04T02:06:01Z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2022-03-04T10:06:01Z</dcterms:created>
  <dcterms:modified xsi:type="dcterms:W3CDTF">2022-03-04T02:06:01Z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2022-03-04T10:06:01Z</dcterms:created>
  <dcterms:modified xsi:type="dcterms:W3CDTF">2022-03-04T02:06:01Z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2022-03-04T10:06:01Z</dcterms:created>
  <dcterms:modified xsi:type="dcterms:W3CDTF">2022-03-04T02:06:01Z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2022-03-04T10:05:54Z</dcterms:created>
  <dcterms:modified xsi:type="dcterms:W3CDTF">2022-03-04T02:05:53Z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2022-03-04T10:06:01Z</dcterms:created>
  <dcterms:modified xsi:type="dcterms:W3CDTF">2022-03-04T02:06:01Z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2022-03-04T10:06:02Z</dcterms:created>
  <dcterms:modified xsi:type="dcterms:W3CDTF">2022-03-04T02:06:02Z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2022-03-04T10:06:02Z</dcterms:created>
  <dcterms:modified xsi:type="dcterms:W3CDTF">2022-03-04T02:06:02Z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2022-03-04T10:06:02Z</dcterms:created>
  <dcterms:modified xsi:type="dcterms:W3CDTF">2022-03-04T02:06:02Z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2022-03-04T10:05:55Z</dcterms:created>
  <dcterms:modified xsi:type="dcterms:W3CDTF">2022-03-04T02:05:55Z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2022-03-04T10:06:02Z</dcterms:created>
  <dcterms:modified xsi:type="dcterms:W3CDTF">2022-03-04T02:06:02Z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2022-03-04T10:06:02Z</dcterms:created>
  <dcterms:modified xsi:type="dcterms:W3CDTF">2022-03-04T02:06:02Z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2022-03-04T10:06:02Z</dcterms:created>
  <dcterms:modified xsi:type="dcterms:W3CDTF">2022-03-04T02:06:02Z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2022-03-04T10:06:03Z</dcterms:created>
  <dcterms:modified xsi:type="dcterms:W3CDTF">2022-03-04T02:06:03Z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2022-03-04T10:05:55Z</dcterms:created>
  <dcterms:modified xsi:type="dcterms:W3CDTF">2022-03-04T02:05:55Z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2022-03-04T10:05:55Z</dcterms:created>
  <dcterms:modified xsi:type="dcterms:W3CDTF">2022-03-04T02:05:55Z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2022-03-04T10:05:55Z</dcterms:created>
  <dcterms:modified xsi:type="dcterms:W3CDTF">2022-03-04T02:05:55Z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b3bfb4d-cd11-4c0f-9848-73b4809f3c6e}">
  <ds:schemaRefs/>
</ds:datastoreItem>
</file>

<file path=customXml/itemProps11.xml><?xml version="1.0" encoding="utf-8"?>
<ds:datastoreItem xmlns:ds="http://schemas.openxmlformats.org/officeDocument/2006/customXml" ds:itemID="{568a9a63-5ba6-4366-8759-d9044a0123d2}">
  <ds:schemaRefs/>
</ds:datastoreItem>
</file>

<file path=customXml/itemProps12.xml><?xml version="1.0" encoding="utf-8"?>
<ds:datastoreItem xmlns:ds="http://schemas.openxmlformats.org/officeDocument/2006/customXml" ds:itemID="{40f369ed-647f-4e18-8087-1aa23b9a4aee}">
  <ds:schemaRefs/>
</ds:datastoreItem>
</file>

<file path=customXml/itemProps13.xml><?xml version="1.0" encoding="utf-8"?>
<ds:datastoreItem xmlns:ds="http://schemas.openxmlformats.org/officeDocument/2006/customXml" ds:itemID="{eb3408a4-8727-4a01-92d6-68fa27b24273}">
  <ds:schemaRefs/>
</ds:datastoreItem>
</file>

<file path=customXml/itemProps14.xml><?xml version="1.0" encoding="utf-8"?>
<ds:datastoreItem xmlns:ds="http://schemas.openxmlformats.org/officeDocument/2006/customXml" ds:itemID="{7a954be1-ddb6-4c89-b283-a6cd91af7e8f}">
  <ds:schemaRefs/>
</ds:datastoreItem>
</file>

<file path=customXml/itemProps15.xml><?xml version="1.0" encoding="utf-8"?>
<ds:datastoreItem xmlns:ds="http://schemas.openxmlformats.org/officeDocument/2006/customXml" ds:itemID="{8294bba8-e4be-445d-9799-f0c6bbf97908}">
  <ds:schemaRefs/>
</ds:datastoreItem>
</file>

<file path=customXml/itemProps16.xml><?xml version="1.0" encoding="utf-8"?>
<ds:datastoreItem xmlns:ds="http://schemas.openxmlformats.org/officeDocument/2006/customXml" ds:itemID="{0eecdd95-9e6c-40e5-87bb-d0b403969a59}">
  <ds:schemaRefs/>
</ds:datastoreItem>
</file>

<file path=customXml/itemProps17.xml><?xml version="1.0" encoding="utf-8"?>
<ds:datastoreItem xmlns:ds="http://schemas.openxmlformats.org/officeDocument/2006/customXml" ds:itemID="{5b840561-4644-4b43-b800-0f62ee7feeb4}">
  <ds:schemaRefs/>
</ds:datastoreItem>
</file>

<file path=customXml/itemProps18.xml><?xml version="1.0" encoding="utf-8"?>
<ds:datastoreItem xmlns:ds="http://schemas.openxmlformats.org/officeDocument/2006/customXml" ds:itemID="{eafb8789-b9bb-47e2-8663-7a03a7565a0f}">
  <ds:schemaRefs/>
</ds:datastoreItem>
</file>

<file path=customXml/itemProps19.xml><?xml version="1.0" encoding="utf-8"?>
<ds:datastoreItem xmlns:ds="http://schemas.openxmlformats.org/officeDocument/2006/customXml" ds:itemID="{c6d8a517-38cb-411f-a7cf-433cee07dbeb}">
  <ds:schemaRefs/>
</ds:datastoreItem>
</file>

<file path=customXml/itemProps2.xml><?xml version="1.0" encoding="utf-8"?>
<ds:datastoreItem xmlns:ds="http://schemas.openxmlformats.org/officeDocument/2006/customXml" ds:itemID="{18affff3-77fc-4fdf-8c68-bc8fc51da5d6}">
  <ds:schemaRefs/>
</ds:datastoreItem>
</file>

<file path=customXml/itemProps20.xml><?xml version="1.0" encoding="utf-8"?>
<ds:datastoreItem xmlns:ds="http://schemas.openxmlformats.org/officeDocument/2006/customXml" ds:itemID="{87e1694e-3ec6-47f0-802d-12118d4df898}">
  <ds:schemaRefs/>
</ds:datastoreItem>
</file>

<file path=customXml/itemProps21.xml><?xml version="1.0" encoding="utf-8"?>
<ds:datastoreItem xmlns:ds="http://schemas.openxmlformats.org/officeDocument/2006/customXml" ds:itemID="{6abd0206-7ed3-4d30-93dc-4d5a5b2b3f79}">
  <ds:schemaRefs/>
</ds:datastoreItem>
</file>

<file path=customXml/itemProps22.xml><?xml version="1.0" encoding="utf-8"?>
<ds:datastoreItem xmlns:ds="http://schemas.openxmlformats.org/officeDocument/2006/customXml" ds:itemID="{f31a44aa-41bc-4dc4-b6b1-f498f0aec996}">
  <ds:schemaRefs/>
</ds:datastoreItem>
</file>

<file path=customXml/itemProps23.xml><?xml version="1.0" encoding="utf-8"?>
<ds:datastoreItem xmlns:ds="http://schemas.openxmlformats.org/officeDocument/2006/customXml" ds:itemID="{0ff09f71-3b58-4d56-8071-71af833f46f4}">
  <ds:schemaRefs/>
</ds:datastoreItem>
</file>

<file path=customXml/itemProps24.xml><?xml version="1.0" encoding="utf-8"?>
<ds:datastoreItem xmlns:ds="http://schemas.openxmlformats.org/officeDocument/2006/customXml" ds:itemID="{3ed49748-522b-4f1e-b584-71a8e0fea516}">
  <ds:schemaRefs/>
</ds:datastoreItem>
</file>

<file path=customXml/itemProps25.xml><?xml version="1.0" encoding="utf-8"?>
<ds:datastoreItem xmlns:ds="http://schemas.openxmlformats.org/officeDocument/2006/customXml" ds:itemID="{777f4c00-97c6-4c95-b3c7-ed4bb0b4684b}">
  <ds:schemaRefs/>
</ds:datastoreItem>
</file>

<file path=customXml/itemProps26.xml><?xml version="1.0" encoding="utf-8"?>
<ds:datastoreItem xmlns:ds="http://schemas.openxmlformats.org/officeDocument/2006/customXml" ds:itemID="{1a5b4279-3e0e-4328-be20-4d989c13a556}">
  <ds:schemaRefs/>
</ds:datastoreItem>
</file>

<file path=customXml/itemProps27.xml><?xml version="1.0" encoding="utf-8"?>
<ds:datastoreItem xmlns:ds="http://schemas.openxmlformats.org/officeDocument/2006/customXml" ds:itemID="{e334077b-95de-4cf8-9c08-d91680166391}">
  <ds:schemaRefs/>
</ds:datastoreItem>
</file>

<file path=customXml/itemProps28.xml><?xml version="1.0" encoding="utf-8"?>
<ds:datastoreItem xmlns:ds="http://schemas.openxmlformats.org/officeDocument/2006/customXml" ds:itemID="{73b07138-627d-4fad-b11f-1c1f45156785}">
  <ds:schemaRefs/>
</ds:datastoreItem>
</file>

<file path=customXml/itemProps29.xml><?xml version="1.0" encoding="utf-8"?>
<ds:datastoreItem xmlns:ds="http://schemas.openxmlformats.org/officeDocument/2006/customXml" ds:itemID="{33388792-7e8c-4636-8ae5-e7423e334721}">
  <ds:schemaRefs/>
</ds:datastoreItem>
</file>

<file path=customXml/itemProps3.xml><?xml version="1.0" encoding="utf-8"?>
<ds:datastoreItem xmlns:ds="http://schemas.openxmlformats.org/officeDocument/2006/customXml" ds:itemID="{6ddc07d5-21e2-43ae-96f6-247e4822c1ea}">
  <ds:schemaRefs/>
</ds:datastoreItem>
</file>

<file path=customXml/itemProps30.xml><?xml version="1.0" encoding="utf-8"?>
<ds:datastoreItem xmlns:ds="http://schemas.openxmlformats.org/officeDocument/2006/customXml" ds:itemID="{0db207d4-bfd2-437a-9a30-a7947be8c9bf}">
  <ds:schemaRefs/>
</ds:datastoreItem>
</file>

<file path=customXml/itemProps31.xml><?xml version="1.0" encoding="utf-8"?>
<ds:datastoreItem xmlns:ds="http://schemas.openxmlformats.org/officeDocument/2006/customXml" ds:itemID="{0e885f2e-4cd1-4a91-9d91-fd2561d2fb74}">
  <ds:schemaRefs/>
</ds:datastoreItem>
</file>

<file path=customXml/itemProps32.xml><?xml version="1.0" encoding="utf-8"?>
<ds:datastoreItem xmlns:ds="http://schemas.openxmlformats.org/officeDocument/2006/customXml" ds:itemID="{5810a5e2-8395-4611-a07c-e51b38d72171}">
  <ds:schemaRefs/>
</ds:datastoreItem>
</file>

<file path=customXml/itemProps33.xml><?xml version="1.0" encoding="utf-8"?>
<ds:datastoreItem xmlns:ds="http://schemas.openxmlformats.org/officeDocument/2006/customXml" ds:itemID="{a2eea4f4-aa51-45b6-8e46-522d6a4500f4}">
  <ds:schemaRefs/>
</ds:datastoreItem>
</file>

<file path=customXml/itemProps34.xml><?xml version="1.0" encoding="utf-8"?>
<ds:datastoreItem xmlns:ds="http://schemas.openxmlformats.org/officeDocument/2006/customXml" ds:itemID="{b349211b-8594-4b46-ad5d-9d30f1c1352b}">
  <ds:schemaRefs/>
</ds:datastoreItem>
</file>

<file path=customXml/itemProps35.xml><?xml version="1.0" encoding="utf-8"?>
<ds:datastoreItem xmlns:ds="http://schemas.openxmlformats.org/officeDocument/2006/customXml" ds:itemID="{4ff3382a-cb54-4a8f-86f6-f279ebdda9ef}">
  <ds:schemaRefs/>
</ds:datastoreItem>
</file>

<file path=customXml/itemProps36.xml><?xml version="1.0" encoding="utf-8"?>
<ds:datastoreItem xmlns:ds="http://schemas.openxmlformats.org/officeDocument/2006/customXml" ds:itemID="{d0ffe0c3-71dd-470f-a9a5-571d0e26387b}">
  <ds:schemaRefs/>
</ds:datastoreItem>
</file>

<file path=customXml/itemProps37.xml><?xml version="1.0" encoding="utf-8"?>
<ds:datastoreItem xmlns:ds="http://schemas.openxmlformats.org/officeDocument/2006/customXml" ds:itemID="{b2090c8b-7ea9-4cef-bf83-98d5106d7545}">
  <ds:schemaRefs/>
</ds:datastoreItem>
</file>

<file path=customXml/itemProps38.xml><?xml version="1.0" encoding="utf-8"?>
<ds:datastoreItem xmlns:ds="http://schemas.openxmlformats.org/officeDocument/2006/customXml" ds:itemID="{62c7a6d6-cff5-4ca0-92b3-77939a1f0eb6}">
  <ds:schemaRefs/>
</ds:datastoreItem>
</file>

<file path=customXml/itemProps39.xml><?xml version="1.0" encoding="utf-8"?>
<ds:datastoreItem xmlns:ds="http://schemas.openxmlformats.org/officeDocument/2006/customXml" ds:itemID="{c150b818-7a3e-4197-8293-cc7a8e8f84df}">
  <ds:schemaRefs/>
</ds:datastoreItem>
</file>

<file path=customXml/itemProps4.xml><?xml version="1.0" encoding="utf-8"?>
<ds:datastoreItem xmlns:ds="http://schemas.openxmlformats.org/officeDocument/2006/customXml" ds:itemID="{1eaa01cd-c605-442d-b712-c40c937ef591}">
  <ds:schemaRefs/>
</ds:datastoreItem>
</file>

<file path=customXml/itemProps40.xml><?xml version="1.0" encoding="utf-8"?>
<ds:datastoreItem xmlns:ds="http://schemas.openxmlformats.org/officeDocument/2006/customXml" ds:itemID="{34be7b90-5e5c-49f8-9571-42f74eba90e0}">
  <ds:schemaRefs/>
</ds:datastoreItem>
</file>

<file path=customXml/itemProps41.xml><?xml version="1.0" encoding="utf-8"?>
<ds:datastoreItem xmlns:ds="http://schemas.openxmlformats.org/officeDocument/2006/customXml" ds:itemID="{b158cb6c-2ee6-4e5f-97b8-d8fadd4fcc1e}">
  <ds:schemaRefs/>
</ds:datastoreItem>
</file>

<file path=customXml/itemProps42.xml><?xml version="1.0" encoding="utf-8"?>
<ds:datastoreItem xmlns:ds="http://schemas.openxmlformats.org/officeDocument/2006/customXml" ds:itemID="{851ac44a-3965-4f54-bdc9-7f35d508557d}">
  <ds:schemaRefs/>
</ds:datastoreItem>
</file>

<file path=customXml/itemProps43.xml><?xml version="1.0" encoding="utf-8"?>
<ds:datastoreItem xmlns:ds="http://schemas.openxmlformats.org/officeDocument/2006/customXml" ds:itemID="{a69bd8d3-b2ce-4e52-938b-ae2d45d009cd}">
  <ds:schemaRefs/>
</ds:datastoreItem>
</file>

<file path=customXml/itemProps44.xml><?xml version="1.0" encoding="utf-8"?>
<ds:datastoreItem xmlns:ds="http://schemas.openxmlformats.org/officeDocument/2006/customXml" ds:itemID="{ee80c596-2d84-4e6b-8784-4113f3263ede}">
  <ds:schemaRefs/>
</ds:datastoreItem>
</file>

<file path=customXml/itemProps45.xml><?xml version="1.0" encoding="utf-8"?>
<ds:datastoreItem xmlns:ds="http://schemas.openxmlformats.org/officeDocument/2006/customXml" ds:itemID="{fa350089-afd0-4e3e-b882-4a29e59a0bc9}">
  <ds:schemaRefs/>
</ds:datastoreItem>
</file>

<file path=customXml/itemProps46.xml><?xml version="1.0" encoding="utf-8"?>
<ds:datastoreItem xmlns:ds="http://schemas.openxmlformats.org/officeDocument/2006/customXml" ds:itemID="{4f4acb59-0568-4457-a021-5dfc36e45851}">
  <ds:schemaRefs/>
</ds:datastoreItem>
</file>

<file path=customXml/itemProps47.xml><?xml version="1.0" encoding="utf-8"?>
<ds:datastoreItem xmlns:ds="http://schemas.openxmlformats.org/officeDocument/2006/customXml" ds:itemID="{fd20ce0d-3963-42f8-b0e2-f03d1ae12f20}">
  <ds:schemaRefs/>
</ds:datastoreItem>
</file>

<file path=customXml/itemProps48.xml><?xml version="1.0" encoding="utf-8"?>
<ds:datastoreItem xmlns:ds="http://schemas.openxmlformats.org/officeDocument/2006/customXml" ds:itemID="{b00c0ad6-83ac-4c98-96ee-a81c5a304ba7}">
  <ds:schemaRefs/>
</ds:datastoreItem>
</file>

<file path=customXml/itemProps49.xml><?xml version="1.0" encoding="utf-8"?>
<ds:datastoreItem xmlns:ds="http://schemas.openxmlformats.org/officeDocument/2006/customXml" ds:itemID="{4b79f308-e765-4bbe-b8a7-571df3b220c9}">
  <ds:schemaRefs/>
</ds:datastoreItem>
</file>

<file path=customXml/itemProps5.xml><?xml version="1.0" encoding="utf-8"?>
<ds:datastoreItem xmlns:ds="http://schemas.openxmlformats.org/officeDocument/2006/customXml" ds:itemID="{a560202b-f3b5-42d9-8326-81b3ea112385}">
  <ds:schemaRefs/>
</ds:datastoreItem>
</file>

<file path=customXml/itemProps50.xml><?xml version="1.0" encoding="utf-8"?>
<ds:datastoreItem xmlns:ds="http://schemas.openxmlformats.org/officeDocument/2006/customXml" ds:itemID="{0fd11514-14e4-4039-ba0d-2cdeb5d2a4a6}">
  <ds:schemaRefs/>
</ds:datastoreItem>
</file>

<file path=customXml/itemProps51.xml><?xml version="1.0" encoding="utf-8"?>
<ds:datastoreItem xmlns:ds="http://schemas.openxmlformats.org/officeDocument/2006/customXml" ds:itemID="{e945ad5e-00a3-4767-804b-92788e7de439}">
  <ds:schemaRefs/>
</ds:datastoreItem>
</file>

<file path=customXml/itemProps52.xml><?xml version="1.0" encoding="utf-8"?>
<ds:datastoreItem xmlns:ds="http://schemas.openxmlformats.org/officeDocument/2006/customXml" ds:itemID="{f0ec2968-95fd-4092-ba9f-12a47b002207}">
  <ds:schemaRefs/>
</ds:datastoreItem>
</file>

<file path=customXml/itemProps53.xml><?xml version="1.0" encoding="utf-8"?>
<ds:datastoreItem xmlns:ds="http://schemas.openxmlformats.org/officeDocument/2006/customXml" ds:itemID="{dcba25bf-cf31-4064-8d23-04f457164752}">
  <ds:schemaRefs/>
</ds:datastoreItem>
</file>

<file path=customXml/itemProps54.xml><?xml version="1.0" encoding="utf-8"?>
<ds:datastoreItem xmlns:ds="http://schemas.openxmlformats.org/officeDocument/2006/customXml" ds:itemID="{7910b64a-ed6c-417c-81f9-da17a2d87d2d}">
  <ds:schemaRefs/>
</ds:datastoreItem>
</file>

<file path=customXml/itemProps55.xml><?xml version="1.0" encoding="utf-8"?>
<ds:datastoreItem xmlns:ds="http://schemas.openxmlformats.org/officeDocument/2006/customXml" ds:itemID="{9e64a3cd-f574-4a21-b1fb-a12f57458ba6}">
  <ds:schemaRefs/>
</ds:datastoreItem>
</file>

<file path=customXml/itemProps56.xml><?xml version="1.0" encoding="utf-8"?>
<ds:datastoreItem xmlns:ds="http://schemas.openxmlformats.org/officeDocument/2006/customXml" ds:itemID="{330772d5-076e-49f2-b621-d1f5104f88fc}">
  <ds:schemaRefs/>
</ds:datastoreItem>
</file>

<file path=customXml/itemProps57.xml><?xml version="1.0" encoding="utf-8"?>
<ds:datastoreItem xmlns:ds="http://schemas.openxmlformats.org/officeDocument/2006/customXml" ds:itemID="{0ebdf8f9-4ebd-4eca-bf1a-cfc4152d5f88}">
  <ds:schemaRefs/>
</ds:datastoreItem>
</file>

<file path=customXml/itemProps58.xml><?xml version="1.0" encoding="utf-8"?>
<ds:datastoreItem xmlns:ds="http://schemas.openxmlformats.org/officeDocument/2006/customXml" ds:itemID="{eeb5207e-2bad-45b1-83d4-7b493864686a}">
  <ds:schemaRefs/>
</ds:datastoreItem>
</file>

<file path=customXml/itemProps59.xml><?xml version="1.0" encoding="utf-8"?>
<ds:datastoreItem xmlns:ds="http://schemas.openxmlformats.org/officeDocument/2006/customXml" ds:itemID="{cf304092-ac88-4b1e-af0d-d5fa7c3a5cb5}">
  <ds:schemaRefs/>
</ds:datastoreItem>
</file>

<file path=customXml/itemProps6.xml><?xml version="1.0" encoding="utf-8"?>
<ds:datastoreItem xmlns:ds="http://schemas.openxmlformats.org/officeDocument/2006/customXml" ds:itemID="{54823e5e-0e10-46da-aa48-f610cef1f9b5}">
  <ds:schemaRefs/>
</ds:datastoreItem>
</file>

<file path=customXml/itemProps7.xml><?xml version="1.0" encoding="utf-8"?>
<ds:datastoreItem xmlns:ds="http://schemas.openxmlformats.org/officeDocument/2006/customXml" ds:itemID="{e3010aec-f09d-4b76-b834-c44693e849da}">
  <ds:schemaRefs/>
</ds:datastoreItem>
</file>

<file path=customXml/itemProps8.xml><?xml version="1.0" encoding="utf-8"?>
<ds:datastoreItem xmlns:ds="http://schemas.openxmlformats.org/officeDocument/2006/customXml" ds:itemID="{5be83dba-0eb7-4d95-ae40-67767fcf821d}">
  <ds:schemaRefs/>
</ds:datastoreItem>
</file>

<file path=customXml/itemProps9.xml><?xml version="1.0" encoding="utf-8"?>
<ds:datastoreItem xmlns:ds="http://schemas.openxmlformats.org/officeDocument/2006/customXml" ds:itemID="{7d7a0c81-b5ef-418e-afb5-e9679690acc6}">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2022-03-04T10:06:00Z</dcterms:created>
  <dc:creator>czjm</dc:creator>
  <cp:lastModifiedBy>czjm</cp:lastModifiedBy>
  <dcterms:modified xsi:type="dcterms:W3CDTF">2022-07-06T01:16:24Z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